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PALO ALTO NETWORKS,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001-35594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20-2530195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3000 Tannery Way Santa Clara, California 95054</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(408) 753-4000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PANW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On April 8, 2026, Palo Alto Networks, Inc. (the “Company”) entered into three lease amendments (collectively, the “Amendments”) extending the term of the Company’s leases (collectively, the “Leases”) of the following properties: (i) Building E comprised of approximately 290,082 rentable square feet and located at 3000 Tannery Way, Santa Clara, California, (ii) Building G comprised of approximately 309,559 square feet and located at 3200 Tannery Way, Santa Clara, California, and (iii) Building F and H comprised of approximately 340,923 rentable square feet and located at 3100 and 3130 Tannery Way, Santa Clara, California (collectively, the “Leased Property”). The amendments for Buildings E, F and H were entered into with Santa Clara Phase III EFH, LLC. The amendment for Building G was entered into with Santa Clara Phase III G, LLC.</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Amendments, the term of the Leases will be extended for a period of twelve (12) years commencing on August 1, 2028 and expiring on July 31, 2040 (the “Extended Term”). Base rent under the Leases will be abated during the first twelve (12) months of the Extended Term. Thereafter, base rent will be payable in the amount of $3.825 per rentable square foot, per month, with 2% annual increases. The Company has the right to further extend the term of the Leases for two (2) additional periods of six (6) years each.</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Under the Amendments, the Landlord is required to provide a tenant improvement allowance in the amount of up to $72.50 per rentable square foot for the construction of certain improvements to the Leased Property required by the Company.</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does not purport to be complete and is subject to, and qualified in its entirety by, the full texts of the Amendments, which are filed as Exhibits 10.1, and 10.2, and 10.3 hereto and are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“Entry into a Material Definitive Agreement,” is incorporated herein by reference.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040" w:type="dxa"/>
            <w:vAlign w:val="bottom"/>
            <w:gridSpan w:val="2"/>
          </w:tcPr>
          <w:p>
            <w:pPr>
              <w:spacing w:after="0"/>
              <w:rPr>
                <w:sz w:val="24"/>
                <w:szCs w:val="24"/>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Amendment No. 5 to Lease by and between the Company and Santa Clara Phase III EFH, LLC, dated April 8, 2026.</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Amendment No. 5 to Lease by and between the Company and Santa Clara Phase III G, LLC, dated April 8, 2026.</w:t>
            </w: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1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Amendment No. 6 to Lease by and between the Company and Santa Clara Phase III EFH, LLC, dated April 8, 2026.</w:t>
            </w: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Bruce Byrd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2026</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 TO LEASE</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AMENDMENT NO. 5 TO LEASE </w:t>
      </w:r>
      <w:r>
        <w:rPr>
          <w:rFonts w:ascii="Times New Roman" w:cs="Times New Roman" w:eastAsia="Times New Roman" w:hAnsi="Times New Roman"/>
          <w:sz w:val="18"/>
          <w:szCs w:val="18"/>
          <w:color w:val="auto"/>
        </w:rPr>
        <w:t>dated as of April 8, 2026 (this “</w:t>
      </w:r>
      <w:r>
        <w:rPr>
          <w:rFonts w:ascii="Times New Roman" w:cs="Times New Roman" w:eastAsia="Times New Roman" w:hAnsi="Times New Roman"/>
          <w:sz w:val="18"/>
          <w:szCs w:val="18"/>
          <w:u w:val="single" w:color="auto"/>
          <w:color w:val="auto"/>
        </w:rPr>
        <w:t>Fifth Amendment</w:t>
      </w:r>
      <w:r>
        <w:rPr>
          <w:rFonts w:ascii="Times New Roman" w:cs="Times New Roman" w:eastAsia="Times New Roman" w:hAnsi="Times New Roman"/>
          <w:sz w:val="18"/>
          <w:szCs w:val="18"/>
          <w:color w:val="auto"/>
        </w:rPr>
        <w:t>”), is entered into by and between</w:t>
      </w:r>
      <w:r>
        <w:rPr>
          <w:rFonts w:ascii="Times New Roman" w:cs="Times New Roman" w:eastAsia="Times New Roman" w:hAnsi="Times New Roman"/>
          <w:sz w:val="18"/>
          <w:szCs w:val="18"/>
          <w:b w:val="1"/>
          <w:bCs w:val="1"/>
          <w:color w:val="auto"/>
        </w:rPr>
        <w:t xml:space="preserve"> SANTA CLARA PHASE III EFH,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PALO ALTO NETWORKS, INC.</w:t>
      </w:r>
      <w:r>
        <w:rPr>
          <w:rFonts w:ascii="Times New Roman" w:cs="Times New Roman" w:eastAsia="Times New Roman" w:hAnsi="Times New Roman"/>
          <w:sz w:val="18"/>
          <w:szCs w:val="18"/>
          <w:color w:val="auto"/>
        </w:rPr>
        <w:t>,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with reference to the following: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A. WHEREAS</w:t>
      </w:r>
      <w:r>
        <w:rPr>
          <w:rFonts w:ascii="Times New Roman" w:cs="Times New Roman" w:eastAsia="Times New Roman" w:hAnsi="Times New Roman"/>
          <w:sz w:val="18"/>
          <w:szCs w:val="18"/>
          <w:color w:val="auto"/>
        </w:rPr>
        <w:t>, Santa Clara Campus Property Owner I LLC, a Delaware limited liability company and Landlord’s predecessor in interest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Lease (“</w:t>
      </w:r>
      <w:r>
        <w:rPr>
          <w:rFonts w:ascii="Times New Roman" w:cs="Times New Roman" w:eastAsia="Times New Roman" w:hAnsi="Times New Roman"/>
          <w:sz w:val="18"/>
          <w:szCs w:val="18"/>
          <w:u w:val="single" w:color="auto"/>
          <w:color w:val="auto"/>
        </w:rPr>
        <w:t>Original Landlord</w:t>
      </w:r>
      <w:r>
        <w:rPr>
          <w:rFonts w:ascii="Times New Roman" w:cs="Times New Roman" w:eastAsia="Times New Roman" w:hAnsi="Times New Roman"/>
          <w:sz w:val="18"/>
          <w:szCs w:val="18"/>
          <w:color w:val="auto"/>
        </w:rPr>
        <w:t>”), and Tenant entered into that certain Lease dated as of May 28, 2015 (the “</w:t>
      </w:r>
      <w:r>
        <w:rPr>
          <w:rFonts w:ascii="Times New Roman" w:cs="Times New Roman" w:eastAsia="Times New Roman" w:hAnsi="Times New Roman"/>
          <w:sz w:val="18"/>
          <w:szCs w:val="18"/>
          <w:u w:val="single" w:color="auto"/>
          <w:color w:val="auto"/>
        </w:rPr>
        <w:t>Original Lease</w:t>
      </w:r>
      <w:r>
        <w:rPr>
          <w:rFonts w:ascii="Times New Roman" w:cs="Times New Roman" w:eastAsia="Times New Roman" w:hAnsi="Times New Roman"/>
          <w:sz w:val="18"/>
          <w:szCs w:val="18"/>
          <w:color w:val="auto"/>
        </w:rPr>
        <w:t>”), as amended by (a) that certain Amendment No. 1 to Lease dated as of September 16, 2016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by and between Original Landlord and Tenant, (b) that certain Amendment No. 2 to Lease dated as of November 16, 2016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by and between Original Landlord and Tenant, (c) that certain Amendment No. 3 to Lease dated as of June 22, 2017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by and between Santa Clara EFH LLC, a Delaware limited liability company and Landlord’s predecessor in interest under the Lease (“</w:t>
      </w:r>
      <w:r>
        <w:rPr>
          <w:rFonts w:ascii="Times New Roman" w:cs="Times New Roman" w:eastAsia="Times New Roman" w:hAnsi="Times New Roman"/>
          <w:sz w:val="18"/>
          <w:szCs w:val="18"/>
          <w:u w:val="single" w:color="auto"/>
          <w:color w:val="auto"/>
        </w:rPr>
        <w:t>First Successor Landlord</w:t>
      </w:r>
      <w:r>
        <w:rPr>
          <w:rFonts w:ascii="Times New Roman" w:cs="Times New Roman" w:eastAsia="Times New Roman" w:hAnsi="Times New Roman"/>
          <w:sz w:val="18"/>
          <w:szCs w:val="18"/>
          <w:color w:val="auto"/>
        </w:rPr>
        <w:t>”), and Tenant, and (d) that certain Amendment No. 4 to Lease dated as of September 29, 2017 (the “</w:t>
      </w: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and, together with the Original Lease, the First Amendment, the Second Amendment and the Third Amendment, collectively,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by and between Landlord and Tenant, for the lease of certain premises (the “</w:t>
      </w:r>
      <w:r>
        <w:rPr>
          <w:rFonts w:ascii="Times New Roman" w:cs="Times New Roman" w:eastAsia="Times New Roman" w:hAnsi="Times New Roman"/>
          <w:sz w:val="18"/>
          <w:szCs w:val="18"/>
          <w:u w:val="single" w:color="auto"/>
          <w:color w:val="auto"/>
        </w:rPr>
        <w:t>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consisting of approximately 290,082 rentable square feet in that certain building with an address of 3000 Tannery Way, Santa Clara, California, 95054, commonly known and identified as Building E (the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all as more particularly described in the Lease. Capitalized terms used herein and not otherwise defined herein shall have the meanings ascribed to such terms in the Lease. Unless the context clearly indicates otherwise, all references to the “Lease” in the Lease and in this Fifth Amendment shall hereinafter be deemed to refer to the Lease, as amended hereby.</w:t>
      </w:r>
    </w:p>
    <w:p>
      <w:pPr>
        <w:spacing w:after="0" w:line="190"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B. WHEREAS</w:t>
      </w:r>
      <w:r>
        <w:rPr>
          <w:rFonts w:ascii="Times New Roman" w:cs="Times New Roman" w:eastAsia="Times New Roman" w:hAnsi="Times New Roman"/>
          <w:sz w:val="18"/>
          <w:szCs w:val="18"/>
          <w:color w:val="auto"/>
        </w:rPr>
        <w:t>, Landlord and Tenant desire by this Fifth Amendment to amend the Lease in order to (a) extend the Lease Term, (b) provide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revised Base Monthly Rent, (c) provide for the construction of the “Tenant Improvements”, as defined in that certain work letter (the “</w:t>
      </w:r>
      <w:r>
        <w:rPr>
          <w:rFonts w:ascii="Times New Roman" w:cs="Times New Roman" w:eastAsia="Times New Roman" w:hAnsi="Times New Roman"/>
          <w:sz w:val="18"/>
          <w:szCs w:val="18"/>
          <w:u w:val="single" w:color="auto"/>
          <w:color w:val="auto"/>
        </w:rPr>
        <w:t>Work Letter</w:t>
      </w:r>
      <w:r>
        <w:rPr>
          <w:rFonts w:ascii="Times New Roman" w:cs="Times New Roman" w:eastAsia="Times New Roman" w:hAnsi="Times New Roman"/>
          <w:sz w:val="18"/>
          <w:szCs w:val="18"/>
          <w:color w:val="auto"/>
        </w:rPr>
        <w:t xml:space="preserve">”) attached hereto and incorporated herein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(d) further amend, modify and supplement the Lease as set forth herein.</w:t>
      </w:r>
    </w:p>
    <w:p>
      <w:pPr>
        <w:spacing w:after="0" w:line="171"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Recitals (which are incorporated herein by this reference), for the mutual promises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and for other good and valuable consideration, the receipt and sufficiency of which are hereby acknowledged, Landlord and Tenant hereby agree as follows: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5"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Extension of Lease Term; Options to Extend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46"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Extension of Lease Term</w:t>
      </w:r>
      <w:r>
        <w:rPr>
          <w:rFonts w:ascii="Times New Roman" w:cs="Times New Roman" w:eastAsia="Times New Roman" w:hAnsi="Times New Roman"/>
          <w:sz w:val="18"/>
          <w:szCs w:val="18"/>
          <w:color w:val="auto"/>
        </w:rPr>
        <w:t>. Landlord and Tenant acknowledge that the Lease Term is scheduled to expire on July 31, 2028.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contained in the Lease, the Lease Term is hereby extended for a period of one hundred forty-four (144) months (the “</w:t>
      </w: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commencing on August 1, 2028 (the “</w:t>
      </w:r>
      <w:r>
        <w:rPr>
          <w:rFonts w:ascii="Times New Roman" w:cs="Times New Roman" w:eastAsia="Times New Roman" w:hAnsi="Times New Roman"/>
          <w:sz w:val="18"/>
          <w:szCs w:val="18"/>
          <w:u w:val="single" w:color="auto"/>
          <w:color w:val="auto"/>
        </w:rPr>
        <w:t>Extension Term Commencement Date</w:t>
      </w:r>
      <w:r>
        <w:rPr>
          <w:rFonts w:ascii="Times New Roman" w:cs="Times New Roman" w:eastAsia="Times New Roman" w:hAnsi="Times New Roman"/>
          <w:sz w:val="18"/>
          <w:szCs w:val="18"/>
          <w:color w:val="auto"/>
        </w:rPr>
        <w:t>”) and ending on July 31, 2040, unless sooner terminated in accordance with the terms of the Lease. Unless otherwise hereafter expressly agreed in writing by Landlord and Tenant in their sole and absolute discretion, except to the extent provided in Section 15 of the Original Lease (as modified by Section 1(b) below), Tenant shall have no right or option to extend or otherwise renew the Lease Term beyond the Extension Term. In addition, unless the context clearly indicates otherwise, (i) any reference in the Lease to the “Lease Term” or words of similar import shall mean the Lease Term together with the Extension Term (and, if successfully exercised under Section 15 of the Original Lease as modified by Section 1(b) below, the First Extension Period and/or the Second Extension Period), and (ii) any reference in the Lease to the “Lease Expiration Date” or words of similar import shall mean July 31, 2040 (or, if successfully exercised under Section 15 of the Original Lease as modified by Section 1(b) below, the last day of the First Extension Period and/or the Second Extension Period, as may be applicable).</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56"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 to Extend</w:t>
      </w:r>
      <w:r>
        <w:rPr>
          <w:rFonts w:ascii="Times New Roman" w:cs="Times New Roman" w:eastAsia="Times New Roman" w:hAnsi="Times New Roman"/>
          <w:sz w:val="18"/>
          <w:szCs w:val="18"/>
          <w:color w:val="auto"/>
        </w:rPr>
        <w:t>. The terms of Section 15 of the Original Lease shall continue to apply in full force and effect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into this Fifth Amendment for such purposes, except that, notwithstanding anything to the contrary contained in such Section, (i) there shall be no Third Extension Period, and all references in such Section to the Third Extension Period shall be deemed deleted and of no force or effect as if such Section were written to only apply to the First Extension Period and/or the Second Extension Period, as applicable, (ii) all references in such Section to the initial “Lease Term” or words of similar import shall, unless the context clearly indicates otherwise, instead be deemed to mean and refer to the Extension Term, and (iii) all references in such Section to “this Lease” shall, unless the context clearly indicates otherwise, instead be deemed to mean and refer to the Lease as modified by this Fifth Amendment. For the avoidance of doubt, the parties specifically agree that (A) if the First Extension Period is successfully exercised, it shall commence on August 1, 2040 and, unless sooner terminated in accordance with the terms of the Lease, end on July 31, 2046, and (B) if the Second Extension Period is successfully exercised, it shall commence on August 1, 2046 and, unless sooner terminated in accordance with the terms of the Lease, end on July 31, 2052.</w:t>
      </w:r>
    </w:p>
    <w:p>
      <w:pPr>
        <w:spacing w:after="0" w:line="185" w:lineRule="exact"/>
        <w:rPr>
          <w:rFonts w:ascii="Times New Roman" w:cs="Times New Roman" w:eastAsia="Times New Roman" w:hAnsi="Times New Roman"/>
          <w:sz w:val="18"/>
          <w:szCs w:val="18"/>
          <w:b w:val="1"/>
          <w:bCs w:val="1"/>
          <w:color w:val="auto"/>
        </w:rPr>
      </w:pPr>
    </w:p>
    <w:p>
      <w:pPr>
        <w:ind w:right="100" w:firstLine="436"/>
        <w:spacing w:after="0" w:line="262" w:lineRule="auto"/>
        <w:tabs>
          <w:tab w:leader="none" w:pos="6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Base Monthly Rent</w:t>
      </w:r>
      <w:r>
        <w:rPr>
          <w:rFonts w:ascii="Times New Roman" w:cs="Times New Roman" w:eastAsia="Times New Roman" w:hAnsi="Times New Roman"/>
          <w:sz w:val="18"/>
          <w:szCs w:val="18"/>
          <w:color w:val="auto"/>
        </w:rPr>
        <w:t>. Notwithstanding anything to the contrary contained in the Lease, and in addition to all other amounts due and payable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in connection with the Lease to be paid in the manner specified therein, including, without limitation, any applicable Property Operating Expenses, and amounts due (if any) in connection with Tenant’s indemnification, insurance, maintenance, repair, utilities, and services obligations, Tenant shall, beginning on the Extension Term Commencement Date, pay in the manner specified in the Lease, Base Monthly Rent as follows:</w:t>
      </w:r>
    </w:p>
    <w:p>
      <w:pPr>
        <w:spacing w:after="0" w:line="201"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288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Base Monthly Rent</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Annually</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8/1/28 – 7/31/29</w:t>
            </w:r>
          </w:p>
        </w:tc>
        <w:tc>
          <w:tcPr>
            <w:tcW w:w="2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1,087,807.50</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$13,053,690.00</w:t>
            </w:r>
          </w:p>
        </w:tc>
        <w:tc>
          <w:tcPr>
            <w:tcW w:w="40" w:type="dxa"/>
            <w:vAlign w:val="bottom"/>
            <w:shd w:val="clear" w:color="auto" w:fill="CCEEFF"/>
          </w:tcPr>
          <w:p>
            <w:pPr>
              <w:spacing w:after="0"/>
              <w:rPr>
                <w:sz w:val="17"/>
                <w:szCs w:val="17"/>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8/1/29 – 7/31/30</w:t>
            </w:r>
          </w:p>
        </w:tc>
        <w:tc>
          <w:tcPr>
            <w:tcW w:w="30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1,109,563.65</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$13,314,763.80</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8/1/30 – 7/31/31</w:t>
            </w:r>
          </w:p>
        </w:tc>
        <w:tc>
          <w:tcPr>
            <w:tcW w:w="304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1,131,754.92</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$13,581,059.04</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8/1/31 – 7/31/32</w:t>
            </w:r>
          </w:p>
        </w:tc>
        <w:tc>
          <w:tcPr>
            <w:tcW w:w="30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1,154,390.02</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$13,852,680.24</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8/1/32 – 7/31/33</w:t>
            </w:r>
          </w:p>
        </w:tc>
        <w:tc>
          <w:tcPr>
            <w:tcW w:w="304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1,177,477.82</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$14,129,733.84</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8/1/33 – 7/31/34</w:t>
            </w:r>
          </w:p>
        </w:tc>
        <w:tc>
          <w:tcPr>
            <w:tcW w:w="30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1,201,027.38</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$14,412,328.56</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8/1/34 – 7/31/35</w:t>
            </w:r>
          </w:p>
        </w:tc>
        <w:tc>
          <w:tcPr>
            <w:tcW w:w="304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1,225,047.93</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$14,700,575.16</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8/1/35 – 7/31/36</w:t>
            </w:r>
          </w:p>
        </w:tc>
        <w:tc>
          <w:tcPr>
            <w:tcW w:w="30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1,249,548.89</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$14,994,586.68</w:t>
            </w:r>
          </w:p>
        </w:tc>
      </w:tr>
      <w:tr>
        <w:trPr>
          <w:trHeight w:val="346"/>
        </w:trPr>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440" w:top="266" w:right="45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73"/>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Base Monthly Rent</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Annually</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5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8/1/36 – 7/31/37</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1,274,539.87</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$15,294,478.44</w:t>
            </w:r>
          </w:p>
        </w:tc>
        <w:tc>
          <w:tcPr>
            <w:tcW w:w="40" w:type="dxa"/>
            <w:vAlign w:val="bottom"/>
            <w:shd w:val="clear" w:color="auto" w:fill="CCEEFF"/>
          </w:tcPr>
          <w:p>
            <w:pPr>
              <w:spacing w:after="0"/>
              <w:rPr>
                <w:sz w:val="17"/>
                <w:szCs w:val="17"/>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8/1/37 – 7/31/38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1,300,030.67</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$15,600,368.04</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8/1/38 – 7/31/39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1,326,031.28</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$15,912,375.36</w:t>
            </w: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8/1/39 – 7/31/40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1,352,551.91</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$16,230,622.92</w:t>
            </w:r>
          </w:p>
        </w:tc>
      </w:tr>
    </w:tbl>
    <w:p>
      <w:pPr>
        <w:spacing w:after="0" w:line="17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Fifth Amendment, but subject to the terms of this paragraph, Base Monthly Rent shall be abated during the first twelve (12) months of the Extension Term (i.e., from August 1, 2028 – July 31, 2029) (collectively, the “</w:t>
      </w:r>
      <w:r>
        <w:rPr>
          <w:rFonts w:ascii="Times New Roman" w:cs="Times New Roman" w:eastAsia="Times New Roman" w:hAnsi="Times New Roman"/>
          <w:sz w:val="18"/>
          <w:szCs w:val="18"/>
          <w:u w:val="single" w:color="auto"/>
          <w:color w:val="auto"/>
        </w:rPr>
        <w:t>Base Monthly 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Abatement</w:t>
      </w:r>
      <w:r>
        <w:rPr>
          <w:rFonts w:ascii="Times New Roman" w:cs="Times New Roman" w:eastAsia="Times New Roman" w:hAnsi="Times New Roman"/>
          <w:sz w:val="18"/>
          <w:szCs w:val="18"/>
          <w:color w:val="auto"/>
        </w:rPr>
        <w:t>”). Tenant shall pay all other amounts due in connection with the Lease during such months of Base Monthly Rent Abatement, including, without limitation, any applicable Property Operating Expenses, and amounts due (if any) in connection with Tenant’s indemnification, insurance, maintenance, repair, utilities, and services obligations.</w:t>
      </w:r>
    </w:p>
    <w:p>
      <w:pPr>
        <w:spacing w:after="0" w:line="179" w:lineRule="exact"/>
        <w:rPr>
          <w:sz w:val="20"/>
          <w:szCs w:val="20"/>
          <w:color w:val="auto"/>
        </w:rPr>
      </w:pPr>
    </w:p>
    <w:p>
      <w:pPr>
        <w:ind w:right="180" w:firstLine="436"/>
        <w:spacing w:after="0" w:line="268" w:lineRule="auto"/>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Lease Terms Remaining in Effect</w:t>
      </w:r>
      <w:r>
        <w:rPr>
          <w:rFonts w:ascii="Times New Roman" w:cs="Times New Roman" w:eastAsia="Times New Roman" w:hAnsi="Times New Roman"/>
          <w:sz w:val="18"/>
          <w:szCs w:val="18"/>
          <w:color w:val="auto"/>
        </w:rPr>
        <w:t>. For the avoidance of doubt, the parties specifically acknowledge and agree that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terms of the Lease shall remain in full force and effect without modification by this Fifth Amendment except to the extent expressly provided otherwise herein:</w:t>
      </w:r>
    </w:p>
    <w:p>
      <w:pPr>
        <w:spacing w:after="0" w:line="66"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parking;</w:t>
      </w:r>
    </w:p>
    <w:p>
      <w:pPr>
        <w:spacing w:after="0" w:line="22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signage;</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Tenant’s payment of any applicable Property Operating Expenses;</w:t>
      </w:r>
    </w:p>
    <w:p>
      <w:pPr>
        <w:spacing w:after="0" w:line="225"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256"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any SNDA (as defined in Section 13.3 of the Original Lease); provided, that, Landlord represents and warrants that there are no ground leases, mortgages, or deeds of trust which affect the Property as of the date hereof;</w:t>
      </w:r>
    </w:p>
    <w:p>
      <w:pPr>
        <w:spacing w:after="0" w:line="161" w:lineRule="exact"/>
        <w:rPr>
          <w:rFonts w:ascii="Times New Roman" w:cs="Times New Roman" w:eastAsia="Times New Roman" w:hAnsi="Times New Roman"/>
          <w:sz w:val="18"/>
          <w:szCs w:val="18"/>
          <w:b w:val="1"/>
          <w:bCs w:val="1"/>
          <w:color w:val="auto"/>
        </w:rPr>
      </w:pPr>
    </w:p>
    <w:p>
      <w:pPr>
        <w:ind w:right="60" w:firstLine="987"/>
        <w:spacing w:after="0" w:line="261" w:lineRule="auto"/>
        <w:tabs>
          <w:tab w:leader="none" w:pos="1236"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Tenant’s Building Share and Tenant’s Project Share (the parties additionally acknowledge and agree that the rentable square footages and percentages already being used to calculate Tenant’s Building Share and Tenant’s Project Share as of the date of mutual execution of this Fifth Amendment shall be deemed conclusive and binding for all purposes under the Lease, including, without limitation, with respect to any and all Rent heretofore and hereafter payable by Tenant in connection therewith);</w:t>
      </w:r>
    </w:p>
    <w:p>
      <w:pPr>
        <w:spacing w:after="0" w:line="179"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the Permitted Use;</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46"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Tenant’s removal obligations in connection with surrendering the Leased Premises at the expiration or earlier termination of the Lease; provided, that, notwithstanding anything to the contrary contained in the Lease, (i) Landlord may not require Tenant to remove any alterations or improvements existing in the Leased Premises as of the date hereof; (ii) Landlord may require Tenant to remove, at the expiration or earlier termination of the Lease and at Tenant’s sole cost and expense, any Tenant Improvements that are Non-Standard Improvements (subject to the terms of the Lease regarding removal of Non-Standard Improvements); and (iii) Landlord shall notify Tenant of any such removal obligation no later than the time Landlord issues approval, pursuant to the terms of the Work Letter, of the Tenant Improvement in question; and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3" w:right="499" w:bottom="1440" w:gutter="0" w:footer="0" w:header="0"/>
        </w:sectPr>
      </w:pPr>
    </w:p>
    <w:bookmarkStart w:id="6" w:name="page7"/>
    <w:bookmarkEnd w:id="6"/>
    <w:p>
      <w:pPr>
        <w:ind w:left="-60" w:firstLine="987"/>
        <w:spacing w:after="0" w:line="282" w:lineRule="auto"/>
        <w:tabs>
          <w:tab w:leader="none" w:pos="1196"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of the Lease regarding assignment and subletting; provided, that, the second sentence in the last paragraph of Article 7 of the Original Lease (beginning with “No subtenant shall” and ending with “by any other party”) is hereby deleted.</w:t>
      </w:r>
    </w:p>
    <w:p>
      <w:pPr>
        <w:spacing w:after="0" w:line="157" w:lineRule="exact"/>
        <w:rPr>
          <w:rFonts w:ascii="Times New Roman" w:cs="Times New Roman" w:eastAsia="Times New Roman" w:hAnsi="Times New Roman"/>
          <w:sz w:val="18"/>
          <w:szCs w:val="18"/>
          <w:b w:val="1"/>
          <w:bCs w:val="1"/>
          <w:color w:val="auto"/>
        </w:rPr>
      </w:pPr>
    </w:p>
    <w:p>
      <w:pPr>
        <w:ind w:left="-60" w:right="100" w:firstLine="436"/>
        <w:spacing w:after="0" w:line="286" w:lineRule="auto"/>
        <w:tabs>
          <w:tab w:leader="none" w:pos="5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Until such time as Landlord or Tenant delivers written notice to the other of any change to any such address, Landlord’s and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for any notice required or permitted to be given under the Lease (collectively,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shall be as follows:</w:t>
      </w:r>
    </w:p>
    <w:p>
      <w:pPr>
        <w:spacing w:after="0" w:line="46" w:lineRule="exact"/>
        <w:rPr>
          <w:rFonts w:ascii="Times New Roman" w:cs="Times New Roman" w:eastAsia="Times New Roman" w:hAnsi="Times New Roman"/>
          <w:sz w:val="18"/>
          <w:szCs w:val="18"/>
          <w:b w:val="1"/>
          <w:bCs w:val="1"/>
          <w:color w:val="auto"/>
        </w:rPr>
      </w:pPr>
    </w:p>
    <w:p>
      <w:pPr>
        <w:ind w:left="1180" w:hanging="253"/>
        <w:spacing w:after="0"/>
        <w:tabs>
          <w:tab w:leader="none" w:pos="11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Landlord’s Notice Address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 CBRE Investment Management, LLC</w:t>
      </w:r>
    </w:p>
    <w:p>
      <w:pPr>
        <w:ind w:left="1360"/>
        <w:spacing w:after="0" w:line="196" w:lineRule="auto"/>
        <w:rPr>
          <w:sz w:val="20"/>
          <w:szCs w:val="20"/>
          <w:color w:val="auto"/>
        </w:rPr>
      </w:pPr>
      <w:r>
        <w:rPr>
          <w:rFonts w:ascii="Times New Roman" w:cs="Times New Roman" w:eastAsia="Times New Roman" w:hAnsi="Times New Roman"/>
          <w:sz w:val="18"/>
          <w:szCs w:val="18"/>
          <w:color w:val="auto"/>
        </w:rPr>
        <w:t>200 Park Avenue,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Tannery Way (Santa Clara) Portfolio Manager</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CBRE, Inc.</w:t>
      </w:r>
    </w:p>
    <w:p>
      <w:pPr>
        <w:ind w:left="1360"/>
        <w:spacing w:after="0" w:line="196" w:lineRule="auto"/>
        <w:rPr>
          <w:sz w:val="20"/>
          <w:szCs w:val="20"/>
          <w:color w:val="auto"/>
        </w:rPr>
      </w:pPr>
      <w:r>
        <w:rPr>
          <w:rFonts w:ascii="Times New Roman" w:cs="Times New Roman" w:eastAsia="Times New Roman" w:hAnsi="Times New Roman"/>
          <w:sz w:val="18"/>
          <w:szCs w:val="18"/>
          <w:color w:val="auto"/>
        </w:rPr>
        <w:t>225 West Santa Clara Street,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San Jose, California 95113</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Collette Brown</w:t>
      </w:r>
    </w:p>
    <w:p>
      <w:pPr>
        <w:spacing w:after="0" w:line="203" w:lineRule="exact"/>
        <w:rPr>
          <w:sz w:val="20"/>
          <w:szCs w:val="20"/>
          <w:color w:val="auto"/>
        </w:rPr>
      </w:pPr>
    </w:p>
    <w:p>
      <w:pPr>
        <w:ind w:left="1200" w:hanging="273"/>
        <w:spacing w:after="0"/>
        <w:tabs>
          <w:tab w:leader="none" w:pos="12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Tenant’s Notice Address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Leased Premises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Leased Premises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Vice President, Places</w:t>
      </w:r>
    </w:p>
    <w:p>
      <w:pPr>
        <w:spacing w:after="0" w:line="203" w:lineRule="exact"/>
        <w:rPr>
          <w:sz w:val="20"/>
          <w:szCs w:val="20"/>
          <w:color w:val="auto"/>
        </w:rPr>
      </w:pPr>
    </w:p>
    <w:p>
      <w:pPr>
        <w:ind w:left="-60" w:right="20" w:firstLine="436"/>
        <w:spacing w:after="0" w:line="262" w:lineRule="auto"/>
        <w:tabs>
          <w:tab w:leader="none" w:pos="5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 of Leased Premises</w:t>
      </w:r>
      <w:r>
        <w:rPr>
          <w:rFonts w:ascii="Times New Roman" w:cs="Times New Roman" w:eastAsia="Times New Roman" w:hAnsi="Times New Roman"/>
          <w:sz w:val="18"/>
          <w:szCs w:val="18"/>
          <w:color w:val="auto"/>
        </w:rPr>
        <w:t>. Without limitation as to Landlord’s maintenance and repair obligations under the Lease, Tenant acknowledges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it is familiar with the condition of the Leased Premises, and (b) subject to construction of the Tenant Improvements and any payment of the “Tenant Improvement Allowance” (as defined in the Work Letter) in accordance with, and subject to, the terms of the Work Letter, Tenant accepts the Leased Premises in its “as-is, where-is and with all faults” condition without improvement or allowance.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70" w:right="519" w:bottom="1440" w:gutter="0" w:footer="0" w:header="0"/>
        </w:sectPr>
      </w:pPr>
    </w:p>
    <w:bookmarkStart w:id="7" w:name="page8"/>
    <w:bookmarkEnd w:id="7"/>
    <w:p>
      <w:pPr>
        <w:ind w:left="620" w:hanging="184"/>
        <w:spacing w:after="0"/>
        <w:tabs>
          <w:tab w:leader="none" w:pos="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Estoppels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7" w:lineRule="auto"/>
        <w:tabs>
          <w:tab w:leader="none" w:pos="1246"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Tenant’s Estoppel</w:t>
      </w:r>
      <w:r>
        <w:rPr>
          <w:rFonts w:ascii="Times New Roman" w:cs="Times New Roman" w:eastAsia="Times New Roman" w:hAnsi="Times New Roman"/>
          <w:sz w:val="18"/>
          <w:szCs w:val="18"/>
          <w:color w:val="auto"/>
        </w:rPr>
        <w:t>. Tenant hereby certifies and acknowledges to Landlord that, as of the date of mutual execution of this Fifth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Tenant’s actual knowledge without duty of investigation or inquiry, (i) Landlord is not in default under the Lease; (ii) Tenant does not have any defenses to its obligations under the Lease; (iii) there are no offsets against any Rent; (iv) Landlord is not holding any security instrument (e.g., security deposit, letter of credit or guaranty) in connection with the Lease; and (v) Landlord has completed any improvements and paid any allowances required to be constructed or paid by Landlord in accordance with the terms of the Lease, subject to any payment of the Tenant Improvement Allowance in accordance with, and subject to, the terms of the Work Letter.</w:t>
      </w:r>
    </w:p>
    <w:p>
      <w:pPr>
        <w:spacing w:after="0" w:line="182" w:lineRule="exact"/>
        <w:rPr>
          <w:rFonts w:ascii="Times New Roman" w:cs="Times New Roman" w:eastAsia="Times New Roman" w:hAnsi="Times New Roman"/>
          <w:sz w:val="18"/>
          <w:szCs w:val="18"/>
          <w:b w:val="1"/>
          <w:bCs w:val="1"/>
          <w:color w:val="auto"/>
        </w:rPr>
      </w:pPr>
    </w:p>
    <w:p>
      <w:pPr>
        <w:ind w:right="40" w:firstLine="987"/>
        <w:spacing w:after="0" w:line="268" w:lineRule="auto"/>
        <w:tabs>
          <w:tab w:leader="none" w:pos="1256"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Landlord’s Estoppel</w:t>
      </w:r>
      <w:r>
        <w:rPr>
          <w:rFonts w:ascii="Times New Roman" w:cs="Times New Roman" w:eastAsia="Times New Roman" w:hAnsi="Times New Roman"/>
          <w:sz w:val="18"/>
          <w:szCs w:val="18"/>
          <w:color w:val="auto"/>
        </w:rPr>
        <w:t>. Landlord hereby certifies and acknowledges to Tenant that, as of the date of mutual execution of this Fifth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Landlord’s actual knowledge without duty of investigation or inquiry, (i) Tenant is not in default under the Lease; and (ii) Landlord does not have any defenses to its obligations under the Lease.</w:t>
      </w:r>
    </w:p>
    <w:p>
      <w:pPr>
        <w:spacing w:after="0" w:line="170" w:lineRule="exact"/>
        <w:rPr>
          <w:rFonts w:ascii="Times New Roman" w:cs="Times New Roman" w:eastAsia="Times New Roman" w:hAnsi="Times New Roman"/>
          <w:sz w:val="18"/>
          <w:szCs w:val="18"/>
          <w:b w:val="1"/>
          <w:bCs w:val="1"/>
          <w:color w:val="auto"/>
        </w:rPr>
      </w:pPr>
    </w:p>
    <w:p>
      <w:pPr>
        <w:ind w:right="40" w:firstLine="436"/>
        <w:spacing w:after="0" w:line="254" w:lineRule="auto"/>
        <w:tabs>
          <w:tab w:leader="none" w:pos="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with respect to CBRE, Inc. (representing Landlord) and Newmark (representing Tenant), the brokers involved in this Fifth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(collectively, the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Landlord and Tenant each hereby represents and warrants to the other that such party making such representation and warranty has not entered into any agreement or had any dealings with any real estate broker, leasing agent, finder, or salesmen, other than the Brokers, that, in any such instance, might result in any obligation on the part of Landlord or Tenant to pay any brokerage commission, finder’s fee or other compensation with respect to this Fifth Amendment, and each agrees to protect, defend, indemnify and hold the other harmless from and against any and all actions, adjudications, awards, causes of action, claims, costs, damages, demands, expenses (including, without limitation, attorneys’ fees and costs and court costs), fees, fines, forfeitures, injuries, judgments, liabilities, liens, losses, obligations, orders, penalties, proceedings, stop notices and suits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in any way arising or resulting from or in connection with or related to any breach or inaccuracy of such representation and warranty made by such party. Any commission payable to the Brokers based on this Fifth Amendment shall be payable by Landlord in accordance with, and subject to, the terms of a separate agreement.</w:t>
      </w:r>
    </w:p>
    <w:p>
      <w:pPr>
        <w:spacing w:after="0" w:line="185"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Landlord’s Exculpation; CBRE Investment Management as Signatory</w:t>
      </w:r>
      <w:r>
        <w:rPr>
          <w:rFonts w:ascii="Times New Roman" w:cs="Times New Roman" w:eastAsia="Times New Roman" w:hAnsi="Times New Roman"/>
          <w:sz w:val="18"/>
          <w:szCs w:val="18"/>
          <w:color w:val="auto"/>
        </w:rPr>
        <w:t>. This Fifth Amendment is being executed by CBRE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LLC, a Delaware limited liability company (“</w:t>
      </w:r>
      <w:r>
        <w:rPr>
          <w:rFonts w:ascii="Times New Roman" w:cs="Times New Roman" w:eastAsia="Times New Roman" w:hAnsi="Times New Roman"/>
          <w:sz w:val="18"/>
          <w:szCs w:val="18"/>
          <w:u w:val="single" w:color="auto"/>
          <w:color w:val="auto"/>
        </w:rPr>
        <w:t>CBRE Investment Management</w:t>
      </w:r>
      <w:r>
        <w:rPr>
          <w:rFonts w:ascii="Times New Roman" w:cs="Times New Roman" w:eastAsia="Times New Roman" w:hAnsi="Times New Roman"/>
          <w:sz w:val="18"/>
          <w:szCs w:val="18"/>
          <w:color w:val="auto"/>
        </w:rPr>
        <w:t>”), as manager for Landlord, and Landlord certifies to Tenant that CBRE Investment Management is properly and duly authorized to so bind Landlord. No present or future officer, director, employee, trustee, partner, member, manager, retirant, beneficiary, internal investment contractor, investment manager or agent of Landlord shall have any personal liability, directly or indirectly, and recourse shall not be had against any such officer, director, employee, trustee, partner, member, manager, retirant, beneficiary, internal investment contractor, investment manager or agent under or in connection with the Lease or any other document or instrument heretofore or hereafter executed in connection with the Lease. Tenant hereby waives and releases any and all such personal liability and recourse; however, such waiver and release shall not restrict Tenant’s right to seek recourse against Landlord itself in accordance with, and subject to, the terms of the Lease. The limitations of liability provided in this Section are in addition to, and not in limitation of, any limitation on liability applicable to Landlord provided by Law. Tenant further acknowledges that CBRE Investment Management has entered into this Fifth Amendment as manager to Landlord, and Tenant agrees that all persons dealing with CBRE Investment Management must look solely to Landlord for the enforcement of any Claims arising under the Lease (subject to the limitations upon Landlord’s liability set forth above and in the Lease), as neither CBRE Investment Management nor any of its affiliated entities (including, but not limited to, CBRE, Inc. and CBRE Services, Inc.) nor any of their respective officers, directors, agents, managers, trustees, employees, members, investment managers, partners or shareholders assume any personal, corporate, partnership, limited liability company, or other liability for any of the obligations entered into by CBRE Investment Management as manager for Landlord.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ind w:firstLine="436"/>
        <w:spacing w:after="0" w:line="259" w:lineRule="auto"/>
        <w:tabs>
          <w:tab w:leader="none" w:pos="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California Accessibility Disclosure</w:t>
      </w:r>
      <w:r>
        <w:rPr>
          <w:rFonts w:ascii="Times New Roman" w:cs="Times New Roman" w:eastAsia="Times New Roman" w:hAnsi="Times New Roman"/>
          <w:sz w:val="18"/>
          <w:szCs w:val="18"/>
          <w:color w:val="auto"/>
        </w:rPr>
        <w:t>. Pursuant to California Civil Code Section 1938(a), Landlord hereby discloses to Tenant that,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mutual execution of this Fifth Amendment, the Leased Premises and the Property have not undergone inspection by a Certified Access Specialist (“</w:t>
      </w:r>
      <w:r>
        <w:rPr>
          <w:rFonts w:ascii="Times New Roman" w:cs="Times New Roman" w:eastAsia="Times New Roman" w:hAnsi="Times New Roman"/>
          <w:sz w:val="18"/>
          <w:szCs w:val="18"/>
          <w:u w:val="single" w:color="auto"/>
          <w:color w:val="auto"/>
        </w:rPr>
        <w:t>CASp</w:t>
      </w:r>
      <w:r>
        <w:rPr>
          <w:rFonts w:ascii="Times New Roman" w:cs="Times New Roman" w:eastAsia="Times New Roman" w:hAnsi="Times New Roman"/>
          <w:sz w:val="18"/>
          <w:szCs w:val="18"/>
          <w:color w:val="auto"/>
        </w:rPr>
        <w:t>”). As a result, Landlord hereby provides the following notice (the “</w:t>
      </w:r>
      <w:r>
        <w:rPr>
          <w:rFonts w:ascii="Times New Roman" w:cs="Times New Roman" w:eastAsia="Times New Roman" w:hAnsi="Times New Roman"/>
          <w:sz w:val="18"/>
          <w:szCs w:val="18"/>
          <w:u w:val="single" w:color="auto"/>
          <w:color w:val="auto"/>
        </w:rPr>
        <w:t>CASp Notice</w:t>
      </w:r>
      <w:r>
        <w:rPr>
          <w:rFonts w:ascii="Times New Roman" w:cs="Times New Roman" w:eastAsia="Times New Roman" w:hAnsi="Times New Roman"/>
          <w:sz w:val="18"/>
          <w:szCs w:val="18"/>
          <w:color w:val="auto"/>
        </w:rPr>
        <w:t>”) to Tenant as required by California Civil Code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1938(e):</w:t>
      </w:r>
    </w:p>
    <w:p>
      <w:pPr>
        <w:spacing w:after="0" w:line="9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3" w:lineRule="exact"/>
        <w:rPr>
          <w:sz w:val="20"/>
          <w:szCs w:val="20"/>
          <w:color w:val="auto"/>
        </w:rPr>
      </w:pPr>
    </w:p>
    <w:p>
      <w:pPr>
        <w:ind w:firstLine="436"/>
        <w:spacing w:after="0" w:line="257" w:lineRule="auto"/>
        <w:tabs>
          <w:tab w:leader="none" w:pos="71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Landlord is the successor in interest to Original Landlord and First Successor Landlord under the Lease. Landlord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ratify and confirm their respective rights and obligations under the Lease. Except as specifically herein amended, the Lease is and shall remain in full force and effect according to the terms thereof. In the event of any conflict between the terms of the Lease and the terms of this Fifth Amendment, the terms of this Fifth Amendment shall control. The headings to sections of this Fifth Amendment are for convenient reference only and shall not be used in interpreting this Fifth Amendment. This Fifth Amendment may be executed in counterparts, each of which shall be deemed an original, but all of which together shall constitute one and the same agreement. Delivery of an electronically executed signature page hereof by electronic transmission (including, without limitation, via emailed .pdf or DocuSign) shall specifically be deemed as effective as delivery of a manually executed signature page hereof. At Tenant’s request, Landlord shall execute a First Amendment to Memorandum of Lease with respect to this Fifth Amendment in a form reasonably satisfactory to Landlord and Tenant, and shall cause the same to be recorded in the Official Records of Santa Clara County, California, which First Amendment to Memorandum of Lease shall be recorded against the entire Project and shall include the rights described in Section 3 of the “Buildings F and 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Amendment” (as defined in the Work Letter).</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9" w:name="page10"/>
    <w:bookmarkEnd w:id="9"/>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Landlord and Tenant have caused their duly authorized representatives to execute this Fifth Amendment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SANTA CLARA PHASE III EFH,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Santa Clara EFH LLC, a Delaware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limited liability company, its sole Member</w:t>
      </w:r>
    </w:p>
    <w:p>
      <w:pPr>
        <w:spacing w:after="0" w:line="207"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8"/>
          <w:szCs w:val="18"/>
          <w:color w:val="auto"/>
        </w:rPr>
        <w:t>By:</w:t>
        <w:tab/>
        <w:t>Santa Clara EFH REIT LLC, a Delaware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limited liability company, its sole Member</w:t>
      </w:r>
    </w:p>
    <w:p>
      <w:pPr>
        <w:spacing w:after="0" w:line="207"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18"/>
          <w:szCs w:val="18"/>
          <w:color w:val="auto"/>
        </w:rPr>
        <w:t>By:</w:t>
        <w:tab/>
        <w:t>Santa Clara Phase III REIT LLC, a Delaware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limited liability company, its Manager</w:t>
      </w:r>
    </w:p>
    <w:p>
      <w:pPr>
        <w:spacing w:after="0" w:line="207" w:lineRule="exact"/>
        <w:rPr>
          <w:sz w:val="20"/>
          <w:szCs w:val="20"/>
          <w:color w:val="auto"/>
        </w:rPr>
      </w:pPr>
    </w:p>
    <w:p>
      <w:pPr>
        <w:ind w:left="1360"/>
        <w:spacing w:after="0"/>
        <w:tabs>
          <w:tab w:leader="none" w:pos="1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Tannery Way Partners, LLC, a Delaware</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limited liability company, its Manager</w:t>
      </w:r>
    </w:p>
    <w:p>
      <w:pPr>
        <w:spacing w:after="0" w:line="207" w:lineRule="exact"/>
        <w:rPr>
          <w:sz w:val="20"/>
          <w:szCs w:val="20"/>
          <w:color w:val="auto"/>
        </w:rPr>
      </w:pPr>
    </w:p>
    <w:p>
      <w:pPr>
        <w:ind w:left="1800"/>
        <w:spacing w:after="0"/>
        <w:tabs>
          <w:tab w:leader="none" w:pos="2200" w:val="left"/>
        </w:tabs>
        <w:rPr>
          <w:sz w:val="20"/>
          <w:szCs w:val="20"/>
          <w:color w:val="auto"/>
        </w:rPr>
      </w:pPr>
      <w:r>
        <w:rPr>
          <w:rFonts w:ascii="Times New Roman" w:cs="Times New Roman" w:eastAsia="Times New Roman" w:hAnsi="Times New Roman"/>
          <w:sz w:val="18"/>
          <w:szCs w:val="18"/>
          <w:color w:val="auto"/>
        </w:rPr>
        <w:t>By:</w:t>
        <w:tab/>
        <w:t>CBRE Investment Management, LLC, a Delaware</w:t>
      </w:r>
    </w:p>
    <w:p>
      <w:pPr>
        <w:spacing w:after="0" w:line="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limited liability company, its Manager</w:t>
      </w:r>
    </w:p>
    <w:p>
      <w:pPr>
        <w:spacing w:after="0" w:line="207" w:lineRule="exact"/>
        <w:rPr>
          <w:sz w:val="20"/>
          <w:szCs w:val="20"/>
          <w:color w:val="auto"/>
        </w:rPr>
      </w:pPr>
    </w:p>
    <w:p>
      <w:pPr>
        <w:ind w:left="2220"/>
        <w:spacing w:after="0"/>
        <w:tabs>
          <w:tab w:leader="none" w:pos="2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Xi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17145</wp:posOffset>
            </wp:positionV>
            <wp:extent cx="2657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Nikesh Arora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Nikesh Arora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720"/>
          </w:cols>
          <w:pgMar w:left="440" w:top="266" w:right="7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 TO LEASE</w:t>
      </w:r>
    </w:p>
    <w:p>
      <w:pPr>
        <w:spacing w:after="0" w:line="22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AMENDMENT NO. 5 TO LEASE </w:t>
      </w:r>
      <w:r>
        <w:rPr>
          <w:rFonts w:ascii="Times New Roman" w:cs="Times New Roman" w:eastAsia="Times New Roman" w:hAnsi="Times New Roman"/>
          <w:sz w:val="18"/>
          <w:szCs w:val="18"/>
          <w:color w:val="auto"/>
        </w:rPr>
        <w:t>dated as of April 8, 2026 (this “</w:t>
      </w:r>
      <w:r>
        <w:rPr>
          <w:rFonts w:ascii="Times New Roman" w:cs="Times New Roman" w:eastAsia="Times New Roman" w:hAnsi="Times New Roman"/>
          <w:sz w:val="18"/>
          <w:szCs w:val="18"/>
          <w:u w:val="single" w:color="auto"/>
          <w:color w:val="auto"/>
        </w:rPr>
        <w:t>Fifth Amendment</w:t>
      </w:r>
      <w:r>
        <w:rPr>
          <w:rFonts w:ascii="Times New Roman" w:cs="Times New Roman" w:eastAsia="Times New Roman" w:hAnsi="Times New Roman"/>
          <w:sz w:val="18"/>
          <w:szCs w:val="18"/>
          <w:color w:val="auto"/>
        </w:rPr>
        <w:t>”), is entered into by and between</w:t>
      </w:r>
      <w:r>
        <w:rPr>
          <w:rFonts w:ascii="Times New Roman" w:cs="Times New Roman" w:eastAsia="Times New Roman" w:hAnsi="Times New Roman"/>
          <w:sz w:val="18"/>
          <w:szCs w:val="18"/>
          <w:b w:val="1"/>
          <w:bCs w:val="1"/>
          <w:color w:val="auto"/>
        </w:rPr>
        <w:t xml:space="preserve"> SANTA CLARA PHASE III G,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PALO ALTO NETWORKS,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reference to the following: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A. WHEREAS</w:t>
      </w:r>
      <w:r>
        <w:rPr>
          <w:rFonts w:ascii="Times New Roman" w:cs="Times New Roman" w:eastAsia="Times New Roman" w:hAnsi="Times New Roman"/>
          <w:sz w:val="18"/>
          <w:szCs w:val="18"/>
          <w:color w:val="auto"/>
        </w:rPr>
        <w:t>, Santa Clara Campus Property Owner I LLC, a Delaware limited liability company and Landlord’s predecessor in interest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Lease (“</w:t>
      </w:r>
      <w:r>
        <w:rPr>
          <w:rFonts w:ascii="Times New Roman" w:cs="Times New Roman" w:eastAsia="Times New Roman" w:hAnsi="Times New Roman"/>
          <w:sz w:val="18"/>
          <w:szCs w:val="18"/>
          <w:u w:val="single" w:color="auto"/>
          <w:color w:val="auto"/>
        </w:rPr>
        <w:t>Original Landlord</w:t>
      </w:r>
      <w:r>
        <w:rPr>
          <w:rFonts w:ascii="Times New Roman" w:cs="Times New Roman" w:eastAsia="Times New Roman" w:hAnsi="Times New Roman"/>
          <w:sz w:val="18"/>
          <w:szCs w:val="18"/>
          <w:color w:val="auto"/>
        </w:rPr>
        <w:t>”), and Tenant entered into that certain Lease dated as of October 7, 2015 (the “</w:t>
      </w:r>
      <w:r>
        <w:rPr>
          <w:rFonts w:ascii="Times New Roman" w:cs="Times New Roman" w:eastAsia="Times New Roman" w:hAnsi="Times New Roman"/>
          <w:sz w:val="18"/>
          <w:szCs w:val="18"/>
          <w:u w:val="single" w:color="auto"/>
          <w:color w:val="auto"/>
        </w:rPr>
        <w:t>Original Lease</w:t>
      </w:r>
      <w:r>
        <w:rPr>
          <w:rFonts w:ascii="Times New Roman" w:cs="Times New Roman" w:eastAsia="Times New Roman" w:hAnsi="Times New Roman"/>
          <w:sz w:val="18"/>
          <w:szCs w:val="18"/>
          <w:color w:val="auto"/>
        </w:rPr>
        <w:t>”), as amended by (a) that certain Amendment No. 1 to Lease dated as of September 16, 2016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by and between Original Landlord and Tenant, (b) that certain Amendment No. 2 to Lease dated as of November 16, 2016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by and between Original Landlord and Tenant, (c) that certain Amendment No. 3 to Lease dated as of June 22, 2017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by and between Santa Clara G LLC, a Delaware limited liability company and Landlord’s predecessor in interest under the Lease (“</w:t>
      </w:r>
      <w:r>
        <w:rPr>
          <w:rFonts w:ascii="Times New Roman" w:cs="Times New Roman" w:eastAsia="Times New Roman" w:hAnsi="Times New Roman"/>
          <w:sz w:val="18"/>
          <w:szCs w:val="18"/>
          <w:u w:val="single" w:color="auto"/>
          <w:color w:val="auto"/>
        </w:rPr>
        <w:t>First Successor Landlord</w:t>
      </w:r>
      <w:r>
        <w:rPr>
          <w:rFonts w:ascii="Times New Roman" w:cs="Times New Roman" w:eastAsia="Times New Roman" w:hAnsi="Times New Roman"/>
          <w:sz w:val="18"/>
          <w:szCs w:val="18"/>
          <w:color w:val="auto"/>
        </w:rPr>
        <w:t>”), and Tenant, and (d) that certain Amendment No. 4 to Lease dated as of September 29, 2017 (the “</w:t>
      </w: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and, together with the Original Lease, the First Amendment, the Second Amendment and the Third Amendment, collectively,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by and between Landlord and Tenant, for the lease of certain premises (the “</w:t>
      </w:r>
      <w:r>
        <w:rPr>
          <w:rFonts w:ascii="Times New Roman" w:cs="Times New Roman" w:eastAsia="Times New Roman" w:hAnsi="Times New Roman"/>
          <w:sz w:val="18"/>
          <w:szCs w:val="18"/>
          <w:u w:val="single" w:color="auto"/>
          <w:color w:val="auto"/>
        </w:rPr>
        <w:t>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consisting of approximately 309,559 rentable square feet in that certain building with an address of 3200 Tannery Way, Santa Clara, California, 95054, commonly known and identified as Building G (the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all as more particularly described in the Lease. Capitalized terms used herein and not otherwise defined herein shall have the meanings ascribed to such terms in the Lease. Unless the context clearly indicates otherwise, all references to the “Lease” in the Lease and in this Fifth Amendment shall hereinafter be deemed to refer to the Lease, as amended hereby.</w:t>
      </w:r>
    </w:p>
    <w:p>
      <w:pPr>
        <w:spacing w:after="0" w:line="190"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B. WHEREAS</w:t>
      </w:r>
      <w:r>
        <w:rPr>
          <w:rFonts w:ascii="Times New Roman" w:cs="Times New Roman" w:eastAsia="Times New Roman" w:hAnsi="Times New Roman"/>
          <w:sz w:val="18"/>
          <w:szCs w:val="18"/>
          <w:color w:val="auto"/>
        </w:rPr>
        <w:t>, Landlord and Tenant desire by this Fifth Amendment to amend the Lease in order to (a) extend the Lease Term, (b) provide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revised Base Monthly Rent, (c) provide for the construction of the “Tenant Improvements”, as defined in that certain work letter (the “</w:t>
      </w:r>
      <w:r>
        <w:rPr>
          <w:rFonts w:ascii="Times New Roman" w:cs="Times New Roman" w:eastAsia="Times New Roman" w:hAnsi="Times New Roman"/>
          <w:sz w:val="18"/>
          <w:szCs w:val="18"/>
          <w:u w:val="single" w:color="auto"/>
          <w:color w:val="auto"/>
        </w:rPr>
        <w:t>Work Letter</w:t>
      </w:r>
      <w:r>
        <w:rPr>
          <w:rFonts w:ascii="Times New Roman" w:cs="Times New Roman" w:eastAsia="Times New Roman" w:hAnsi="Times New Roman"/>
          <w:sz w:val="18"/>
          <w:szCs w:val="18"/>
          <w:color w:val="auto"/>
        </w:rPr>
        <w:t xml:space="preserve">”) attached hereto and incorporated herein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(d) further amend, modify and supplement the Lease as set forth herein.</w:t>
      </w:r>
    </w:p>
    <w:p>
      <w:pPr>
        <w:spacing w:after="0" w:line="171"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Recitals (which are incorporated herein by this reference), for the mutual promises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and for other good and valuable consideration, the receipt and sufficiency of which are hereby acknowledged, Landlord and Tenant hereby agree as follows: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5" w:lineRule="exact"/>
        <w:rPr>
          <w:sz w:val="20"/>
          <w:szCs w:val="20"/>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Extension of Lease Term; Options to Extend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46"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Extension of Lease Term</w:t>
      </w:r>
      <w:r>
        <w:rPr>
          <w:rFonts w:ascii="Times New Roman" w:cs="Times New Roman" w:eastAsia="Times New Roman" w:hAnsi="Times New Roman"/>
          <w:sz w:val="18"/>
          <w:szCs w:val="18"/>
          <w:color w:val="auto"/>
        </w:rPr>
        <w:t>. Landlord and Tenant acknowledge that the Lease Term is scheduled to expire on July 31, 2028.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contained in the Lease, the Lease Term is hereby extended for a period of one hundred forty-four (144) months (the “</w:t>
      </w: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commencing on August 1, 2028 (the “</w:t>
      </w:r>
      <w:r>
        <w:rPr>
          <w:rFonts w:ascii="Times New Roman" w:cs="Times New Roman" w:eastAsia="Times New Roman" w:hAnsi="Times New Roman"/>
          <w:sz w:val="18"/>
          <w:szCs w:val="18"/>
          <w:u w:val="single" w:color="auto"/>
          <w:color w:val="auto"/>
        </w:rPr>
        <w:t>Extension Term Commencement Date</w:t>
      </w:r>
      <w:r>
        <w:rPr>
          <w:rFonts w:ascii="Times New Roman" w:cs="Times New Roman" w:eastAsia="Times New Roman" w:hAnsi="Times New Roman"/>
          <w:sz w:val="18"/>
          <w:szCs w:val="18"/>
          <w:color w:val="auto"/>
        </w:rPr>
        <w:t>”) and ending on July 31, 2040, unless sooner terminated in accordance with the terms of the Lease. Unless otherwise hereafter expressly agreed in writing by Landlord and Tenant in their sole and absolute discretion, except to the extent provided in Section 15 of the Original Lease (as modified by Section 1(b) below), Tenant shall have no right or option to extend or otherwise renew the Lease Term beyond the Extension Term. In addition, unless the context clearly indicates otherwise, (i) any reference in the Lease to the “Lease Term” or words of similar import shall mean the Lease Term together with the Extension Term (and, if successfully exercised under Section 15 of the Original Lease as modified by Section 1(b) below, the First Extension Period and/or the Second Extension Period), and (ii) any reference in the Lease to the “Lease Expiration Date” or words of similar import shall mean July 31, 2040 (or, if successfully exercised under Section 15 of the Original Lease as modified by Section 1(b) below, the last day of the First Extension Period and/or the Second Extension Period, as may be applicable).</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56"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 to Extend</w:t>
      </w:r>
      <w:r>
        <w:rPr>
          <w:rFonts w:ascii="Times New Roman" w:cs="Times New Roman" w:eastAsia="Times New Roman" w:hAnsi="Times New Roman"/>
          <w:sz w:val="18"/>
          <w:szCs w:val="18"/>
          <w:color w:val="auto"/>
        </w:rPr>
        <w:t>. The terms of Section 15 of the Original Lease shall continue to apply in full force and effect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into this Fifth Amendment for such purposes, except that, notwithstanding anything to the contrary contained in such Section, (i) there shall be no Third Extension Period, and all references in such Section to the Third Extension Period shall be deemed deleted and of no force or effect as if such Section were written to only apply to the First Extension Period and/or the Second Extension Period, as applicable, (ii) all references in such Section to the initial “Lease Term” or words of similar import shall, unless the context clearly indicates otherwise, instead be deemed to mean and refer to the Extension Term, and (iii) all references in such Section to “this Lease” shall, unless the context clearly indicates otherwise, instead be deemed to mean and refer to the Lease as modified by this Fifth Amendment. For the avoidance of doubt, the parties specifically agree that (A) if the First Extension Period is successfully exercised, it shall commence on August 1, 2040 and, unless sooner terminated in accordance with the terms of the Lease, end on July 31, 2046, and (B) if the Second Extension Period is successfully exercised, it shall commence on August 1, 2046 and, unless sooner terminated in accordance with the terms of the Lease, end on July 31, 2052.</w:t>
      </w:r>
    </w:p>
    <w:p>
      <w:pPr>
        <w:spacing w:after="0" w:line="185" w:lineRule="exact"/>
        <w:rPr>
          <w:rFonts w:ascii="Times New Roman" w:cs="Times New Roman" w:eastAsia="Times New Roman" w:hAnsi="Times New Roman"/>
          <w:sz w:val="18"/>
          <w:szCs w:val="18"/>
          <w:b w:val="1"/>
          <w:bCs w:val="1"/>
          <w:color w:val="auto"/>
        </w:rPr>
      </w:pPr>
    </w:p>
    <w:p>
      <w:pPr>
        <w:ind w:right="100" w:firstLine="436"/>
        <w:spacing w:after="0" w:line="262" w:lineRule="auto"/>
        <w:tabs>
          <w:tab w:leader="none" w:pos="6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Base Monthly Rent</w:t>
      </w:r>
      <w:r>
        <w:rPr>
          <w:rFonts w:ascii="Times New Roman" w:cs="Times New Roman" w:eastAsia="Times New Roman" w:hAnsi="Times New Roman"/>
          <w:sz w:val="18"/>
          <w:szCs w:val="18"/>
          <w:color w:val="auto"/>
        </w:rPr>
        <w:t>. Notwithstanding anything to the contrary contained in the Lease, and in addition to all other amounts due and payable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in connection with the Lease to be paid in the manner specified therein, including, without limitation, any applicable Property Operating Expenses, and amounts due (if any) in connection with Tenant’s indemnification, insurance, maintenance, repair, utilities, and services obligations, Tenant shall, beginning on the Extension Term Commencement Date, pay in the manner specified in the Lease, Base Monthly Rent as follows:</w:t>
      </w:r>
    </w:p>
    <w:p>
      <w:pPr>
        <w:spacing w:after="0" w:line="201"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288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Base Monthly Rent</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Annually</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8/1/28 – 7/31/29</w:t>
            </w:r>
          </w:p>
        </w:tc>
        <w:tc>
          <w:tcPr>
            <w:tcW w:w="2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1,160,846.25</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$13,930,155.00</w:t>
            </w:r>
          </w:p>
        </w:tc>
        <w:tc>
          <w:tcPr>
            <w:tcW w:w="40" w:type="dxa"/>
            <w:vAlign w:val="bottom"/>
            <w:shd w:val="clear" w:color="auto" w:fill="CCEEFF"/>
          </w:tcPr>
          <w:p>
            <w:pPr>
              <w:spacing w:after="0"/>
              <w:rPr>
                <w:sz w:val="17"/>
                <w:szCs w:val="17"/>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8/1/29 – 7/31/30</w:t>
            </w:r>
          </w:p>
        </w:tc>
        <w:tc>
          <w:tcPr>
            <w:tcW w:w="30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1,184,063.18</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$14,208,758.16</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8/1/30 – 7/31/31</w:t>
            </w:r>
          </w:p>
        </w:tc>
        <w:tc>
          <w:tcPr>
            <w:tcW w:w="304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1,207,744.44</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$14,492,933.28</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8/1/31 – 7/31/32</w:t>
            </w:r>
          </w:p>
        </w:tc>
        <w:tc>
          <w:tcPr>
            <w:tcW w:w="30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1,231,899.33</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$14,782,791.96</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8/1/32 – 7/31/33</w:t>
            </w:r>
          </w:p>
        </w:tc>
        <w:tc>
          <w:tcPr>
            <w:tcW w:w="304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1,256,537.32</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$15,078,447.84</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8/1/33 – 7/31/34</w:t>
            </w:r>
          </w:p>
        </w:tc>
        <w:tc>
          <w:tcPr>
            <w:tcW w:w="30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1,281,668.07</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$15,380,016.84</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8/1/34 – 7/31/35</w:t>
            </w:r>
          </w:p>
        </w:tc>
        <w:tc>
          <w:tcPr>
            <w:tcW w:w="304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1,307,301.43</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$15,687,617.16</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8/1/35 – 7/31/36</w:t>
            </w:r>
          </w:p>
        </w:tc>
        <w:tc>
          <w:tcPr>
            <w:tcW w:w="30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1,333,447.46</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$16,001,369.52</w:t>
            </w:r>
          </w:p>
        </w:tc>
      </w:tr>
      <w:tr>
        <w:trPr>
          <w:trHeight w:val="346"/>
        </w:trPr>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440" w:top="266" w:right="45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73"/>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Base Monthly Rent</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Annually</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5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8/1/36 – 7/31/37</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1,360,116.41</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$16,321,396.92</w:t>
            </w:r>
          </w:p>
        </w:tc>
        <w:tc>
          <w:tcPr>
            <w:tcW w:w="40" w:type="dxa"/>
            <w:vAlign w:val="bottom"/>
            <w:shd w:val="clear" w:color="auto" w:fill="CCEEFF"/>
          </w:tcPr>
          <w:p>
            <w:pPr>
              <w:spacing w:after="0"/>
              <w:rPr>
                <w:sz w:val="17"/>
                <w:szCs w:val="17"/>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8/1/37 – 7/31/38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1,387,318.74</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$16,647,824.88</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8/1/38 – 7/31/39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1,415,065.12</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$16,980,781.44</w:t>
            </w: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8/1/39 – 7/31/40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1,443,366.42</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$17,320,397.04</w:t>
            </w:r>
          </w:p>
        </w:tc>
      </w:tr>
    </w:tbl>
    <w:p>
      <w:pPr>
        <w:spacing w:after="0" w:line="17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Fifth Amendment, but subject to the terms of this paragraph, Base Monthly Rent shall be abated during the first twelve (12) months of the Extension Term (i.e., from August 1, 2028 – July 31, 2029) (collectively, the “</w:t>
      </w:r>
      <w:r>
        <w:rPr>
          <w:rFonts w:ascii="Times New Roman" w:cs="Times New Roman" w:eastAsia="Times New Roman" w:hAnsi="Times New Roman"/>
          <w:sz w:val="18"/>
          <w:szCs w:val="18"/>
          <w:u w:val="single" w:color="auto"/>
          <w:color w:val="auto"/>
        </w:rPr>
        <w:t>Base Monthly 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Abatement</w:t>
      </w:r>
      <w:r>
        <w:rPr>
          <w:rFonts w:ascii="Times New Roman" w:cs="Times New Roman" w:eastAsia="Times New Roman" w:hAnsi="Times New Roman"/>
          <w:sz w:val="18"/>
          <w:szCs w:val="18"/>
          <w:color w:val="auto"/>
        </w:rPr>
        <w:t>”). Tenant shall pay all other amounts due in connection with the Lease during such months of Base Monthly Rent Abatement, including, without limitation, any applicable Property Operating Expenses, and amounts due (if any) in connection with Tenant’s indemnification, insurance, maintenance, repair, utilities, and services obligations.</w:t>
      </w:r>
    </w:p>
    <w:p>
      <w:pPr>
        <w:spacing w:after="0" w:line="179" w:lineRule="exact"/>
        <w:rPr>
          <w:sz w:val="20"/>
          <w:szCs w:val="20"/>
          <w:color w:val="auto"/>
        </w:rPr>
      </w:pPr>
    </w:p>
    <w:p>
      <w:pPr>
        <w:ind w:right="180" w:firstLine="436"/>
        <w:spacing w:after="0" w:line="268" w:lineRule="auto"/>
        <w:tabs>
          <w:tab w:leader="none" w:pos="6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Lease Terms Remaining in Effect</w:t>
      </w:r>
      <w:r>
        <w:rPr>
          <w:rFonts w:ascii="Times New Roman" w:cs="Times New Roman" w:eastAsia="Times New Roman" w:hAnsi="Times New Roman"/>
          <w:sz w:val="18"/>
          <w:szCs w:val="18"/>
          <w:color w:val="auto"/>
        </w:rPr>
        <w:t>. For the avoidance of doubt, the parties specifically acknowledge and agree that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terms of the Lease shall remain in full force and effect without modification by this Fifth Amendment except to the extent expressly provided otherwise herein:</w:t>
      </w:r>
    </w:p>
    <w:p>
      <w:pPr>
        <w:spacing w:after="0" w:line="66"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parking;</w:t>
      </w:r>
    </w:p>
    <w:p>
      <w:pPr>
        <w:spacing w:after="0" w:line="22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signage;</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Tenant’s payment of any applicable Property Operating Expenses;</w:t>
      </w:r>
    </w:p>
    <w:p>
      <w:pPr>
        <w:spacing w:after="0" w:line="225"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256"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any SNDA (as defined in Section 13.3 of the Original Lease); provided, that, Landlord represents and warrants that there are no ground leases, mortgages, or deeds of trust which affect the Property as of the date hereof;</w:t>
      </w:r>
    </w:p>
    <w:p>
      <w:pPr>
        <w:spacing w:after="0" w:line="161" w:lineRule="exact"/>
        <w:rPr>
          <w:rFonts w:ascii="Times New Roman" w:cs="Times New Roman" w:eastAsia="Times New Roman" w:hAnsi="Times New Roman"/>
          <w:sz w:val="18"/>
          <w:szCs w:val="18"/>
          <w:b w:val="1"/>
          <w:bCs w:val="1"/>
          <w:color w:val="auto"/>
        </w:rPr>
      </w:pPr>
    </w:p>
    <w:p>
      <w:pPr>
        <w:ind w:right="60" w:firstLine="987"/>
        <w:spacing w:after="0" w:line="261" w:lineRule="auto"/>
        <w:tabs>
          <w:tab w:leader="none" w:pos="1236"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Tenant’s Building Share and Tenant’s Project Share (the parties additionally acknowledge and agree that the rentable square footages and percentages already being used to calculate Tenant’s Building Share and Tenant’s Project Share as of the date of mutual execution of this Fifth Amendment shall be deemed conclusive and binding for all purposes under the Lease, including, without limitation, with respect to any and all Rent heretofore and hereafter payable by Tenant in connection therewith);</w:t>
      </w:r>
    </w:p>
    <w:p>
      <w:pPr>
        <w:spacing w:after="0" w:line="179"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the Permitted Use;</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46"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Tenant’s removal obligations in connection with surrendering the Leased Premises at the expiration or earlier termination of the Lease; provided, that, notwithstanding anything to the contrary contained in the Lease, (i) Landlord may not require Tenant to remove any alterations or improvements existing in the Leased Premises as of the date hereof; (ii) Landlord may require Tenant to remove, at the expiration or earlier termination of the Lease and at Tenant’s sole cost and expense, any Tenant Improvements that are Non-Standard Improvements (subject to the terms of the Lease regarding removal of Non-Standard Improvements); and (iii) Landlord shall notify Tenant of any such removal obligation no later than the time Landlord issues approval, pursuant to the terms of the Work Letter, of the Tenant Improvement in question; and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3" w:right="499" w:bottom="1440" w:gutter="0" w:footer="0" w:header="0"/>
        </w:sectPr>
      </w:pPr>
    </w:p>
    <w:bookmarkStart w:id="13" w:name="page14"/>
    <w:bookmarkEnd w:id="13"/>
    <w:p>
      <w:pPr>
        <w:ind w:left="-60" w:firstLine="987"/>
        <w:spacing w:after="0" w:line="282" w:lineRule="auto"/>
        <w:tabs>
          <w:tab w:leader="none" w:pos="1196"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of the Lease regarding assignment and subletting; provided, that, the second sentence in the last paragraph of Article 7 of the Original Lease (beginning with “No subtenant shall” and ending with “by any other party”) is hereby deleted.</w:t>
      </w:r>
    </w:p>
    <w:p>
      <w:pPr>
        <w:spacing w:after="0" w:line="157" w:lineRule="exact"/>
        <w:rPr>
          <w:rFonts w:ascii="Times New Roman" w:cs="Times New Roman" w:eastAsia="Times New Roman" w:hAnsi="Times New Roman"/>
          <w:sz w:val="18"/>
          <w:szCs w:val="18"/>
          <w:b w:val="1"/>
          <w:bCs w:val="1"/>
          <w:color w:val="auto"/>
        </w:rPr>
      </w:pPr>
    </w:p>
    <w:p>
      <w:pPr>
        <w:ind w:left="-60" w:right="100" w:firstLine="436"/>
        <w:spacing w:after="0" w:line="286" w:lineRule="auto"/>
        <w:tabs>
          <w:tab w:leader="none" w:pos="5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Until such time as Landlord or Tenant delivers written notice to the other of any change to any such address, Landlord’s and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for any notice required or permitted to be given under the Lease (collectively,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shall be as follows:</w:t>
      </w:r>
    </w:p>
    <w:p>
      <w:pPr>
        <w:spacing w:after="0" w:line="46" w:lineRule="exact"/>
        <w:rPr>
          <w:rFonts w:ascii="Times New Roman" w:cs="Times New Roman" w:eastAsia="Times New Roman" w:hAnsi="Times New Roman"/>
          <w:sz w:val="18"/>
          <w:szCs w:val="18"/>
          <w:b w:val="1"/>
          <w:bCs w:val="1"/>
          <w:color w:val="auto"/>
        </w:rPr>
      </w:pPr>
    </w:p>
    <w:p>
      <w:pPr>
        <w:ind w:left="1180" w:hanging="253"/>
        <w:spacing w:after="0"/>
        <w:tabs>
          <w:tab w:leader="none" w:pos="11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Landlord’s Notice Address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 CBRE Investment Management, LLC</w:t>
      </w:r>
    </w:p>
    <w:p>
      <w:pPr>
        <w:ind w:left="1360"/>
        <w:spacing w:after="0" w:line="196" w:lineRule="auto"/>
        <w:rPr>
          <w:sz w:val="20"/>
          <w:szCs w:val="20"/>
          <w:color w:val="auto"/>
        </w:rPr>
      </w:pPr>
      <w:r>
        <w:rPr>
          <w:rFonts w:ascii="Times New Roman" w:cs="Times New Roman" w:eastAsia="Times New Roman" w:hAnsi="Times New Roman"/>
          <w:sz w:val="18"/>
          <w:szCs w:val="18"/>
          <w:color w:val="auto"/>
        </w:rPr>
        <w:t>200 Park Avenue,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Tannery Way (Santa Clara) Portfolio Manager</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CBRE, Inc.</w:t>
      </w:r>
    </w:p>
    <w:p>
      <w:pPr>
        <w:ind w:left="1360"/>
        <w:spacing w:after="0" w:line="196" w:lineRule="auto"/>
        <w:rPr>
          <w:sz w:val="20"/>
          <w:szCs w:val="20"/>
          <w:color w:val="auto"/>
        </w:rPr>
      </w:pPr>
      <w:r>
        <w:rPr>
          <w:rFonts w:ascii="Times New Roman" w:cs="Times New Roman" w:eastAsia="Times New Roman" w:hAnsi="Times New Roman"/>
          <w:sz w:val="18"/>
          <w:szCs w:val="18"/>
          <w:color w:val="auto"/>
        </w:rPr>
        <w:t>225 West Santa Clara Street,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San Jose, California 95113</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Collette Brown</w:t>
      </w:r>
    </w:p>
    <w:p>
      <w:pPr>
        <w:spacing w:after="0" w:line="203" w:lineRule="exact"/>
        <w:rPr>
          <w:sz w:val="20"/>
          <w:szCs w:val="20"/>
          <w:color w:val="auto"/>
        </w:rPr>
      </w:pPr>
    </w:p>
    <w:p>
      <w:pPr>
        <w:ind w:left="1200" w:hanging="273"/>
        <w:spacing w:after="0"/>
        <w:tabs>
          <w:tab w:leader="none" w:pos="12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Tenant’s Notice Address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Leased Premises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Leased Premises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Vice President, Places</w:t>
      </w:r>
    </w:p>
    <w:p>
      <w:pPr>
        <w:spacing w:after="0" w:line="203" w:lineRule="exact"/>
        <w:rPr>
          <w:sz w:val="20"/>
          <w:szCs w:val="20"/>
          <w:color w:val="auto"/>
        </w:rPr>
      </w:pPr>
    </w:p>
    <w:p>
      <w:pPr>
        <w:ind w:left="-60" w:right="20" w:firstLine="436"/>
        <w:spacing w:after="0" w:line="262" w:lineRule="auto"/>
        <w:tabs>
          <w:tab w:leader="none" w:pos="5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 of Leased Premises</w:t>
      </w:r>
      <w:r>
        <w:rPr>
          <w:rFonts w:ascii="Times New Roman" w:cs="Times New Roman" w:eastAsia="Times New Roman" w:hAnsi="Times New Roman"/>
          <w:sz w:val="18"/>
          <w:szCs w:val="18"/>
          <w:color w:val="auto"/>
        </w:rPr>
        <w:t>. Without limitation as to Landlord’s maintenance and repair obligations under the Lease, Tenant acknowledges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it is familiar with the condition of the Leased Premises, and (b) subject to construction of the Tenant Improvements and any payment of the “Tenant Improvement Allowance” (as defined in the Work Letter) in accordance with, and subject to, the terms of the Work Letter, Tenant accepts the Leased Premises in its “as-is, where-is and with all faults” condition without improvement or allowance.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70" w:right="519" w:bottom="1440" w:gutter="0" w:footer="0" w:header="0"/>
        </w:sectPr>
      </w:pPr>
    </w:p>
    <w:bookmarkStart w:id="14" w:name="page15"/>
    <w:bookmarkEnd w:id="14"/>
    <w:p>
      <w:pPr>
        <w:ind w:left="620" w:hanging="184"/>
        <w:spacing w:after="0"/>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Estoppels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7" w:lineRule="auto"/>
        <w:tabs>
          <w:tab w:leader="none" w:pos="124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Tenant’s Estoppel</w:t>
      </w:r>
      <w:r>
        <w:rPr>
          <w:rFonts w:ascii="Times New Roman" w:cs="Times New Roman" w:eastAsia="Times New Roman" w:hAnsi="Times New Roman"/>
          <w:sz w:val="18"/>
          <w:szCs w:val="18"/>
          <w:color w:val="auto"/>
        </w:rPr>
        <w:t>. Tenant hereby certifies and acknowledges to Landlord that, as of the date of mutual execution of this Fifth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Tenant’s actual knowledge without duty of investigation or inquiry, (i) Landlord is not in default under the Lease; (ii) Tenant does not have any defenses to its obligations under the Lease; (iii) there are no offsets against any Rent; (iv) Landlord is not holding any security instrument (e.g., security deposit, letter of credit or guaranty) in connection with the Lease; and (v) Landlord has completed any improvements and paid any allowances required to be constructed or paid by Landlord in accordance with the terms of the Lease, subject to any payment of the Tenant Improvement Allowance in accordance with, and subject to, the terms of the Work Letter.</w:t>
      </w:r>
    </w:p>
    <w:p>
      <w:pPr>
        <w:spacing w:after="0" w:line="182" w:lineRule="exact"/>
        <w:rPr>
          <w:rFonts w:ascii="Times New Roman" w:cs="Times New Roman" w:eastAsia="Times New Roman" w:hAnsi="Times New Roman"/>
          <w:sz w:val="18"/>
          <w:szCs w:val="18"/>
          <w:b w:val="1"/>
          <w:bCs w:val="1"/>
          <w:color w:val="auto"/>
        </w:rPr>
      </w:pPr>
    </w:p>
    <w:p>
      <w:pPr>
        <w:ind w:right="40" w:firstLine="987"/>
        <w:spacing w:after="0" w:line="268" w:lineRule="auto"/>
        <w:tabs>
          <w:tab w:leader="none" w:pos="125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Landlord’s Estoppel</w:t>
      </w:r>
      <w:r>
        <w:rPr>
          <w:rFonts w:ascii="Times New Roman" w:cs="Times New Roman" w:eastAsia="Times New Roman" w:hAnsi="Times New Roman"/>
          <w:sz w:val="18"/>
          <w:szCs w:val="18"/>
          <w:color w:val="auto"/>
        </w:rPr>
        <w:t>. Landlord hereby certifies and acknowledges to Tenant that, as of the date of mutual execution of this Fifth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Landlord’s actual knowledge without duty of investigation or inquiry, (i) Tenant is not in default under the Lease; and (ii) Landlord does not have any defenses to its obligations under the Lease.</w:t>
      </w:r>
    </w:p>
    <w:p>
      <w:pPr>
        <w:spacing w:after="0" w:line="170" w:lineRule="exact"/>
        <w:rPr>
          <w:rFonts w:ascii="Times New Roman" w:cs="Times New Roman" w:eastAsia="Times New Roman" w:hAnsi="Times New Roman"/>
          <w:sz w:val="18"/>
          <w:szCs w:val="18"/>
          <w:b w:val="1"/>
          <w:bCs w:val="1"/>
          <w:color w:val="auto"/>
        </w:rPr>
      </w:pPr>
    </w:p>
    <w:p>
      <w:pPr>
        <w:ind w:right="40" w:firstLine="436"/>
        <w:spacing w:after="0" w:line="254" w:lineRule="auto"/>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with respect to CBRE, Inc. (representing Landlord) and Newmark (representing Tenant), the brokers involved in this Fifth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(collectively, the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Landlord and Tenant each hereby represents and warrants to the other that such party making such representation and warranty has not entered into any agreement or had any dealings with any real estate broker, leasing agent, finder, or salesmen, other than the Brokers, that, in any such instance, might result in any obligation on the part of Landlord or Tenant to pay any brokerage commission, finder’s fee or other compensation with respect to this Fifth Amendment, and each agrees to protect, defend, indemnify and hold the other harmless from and against any and all actions, adjudications, awards, causes of action, claims, costs, damages, demands, expenses (including, without limitation, attorneys’ fees and costs and court costs), fees, fines, forfeitures, injuries, judgments, liabilities, liens, losses, obligations, orders, penalties, proceedings, stop notices and suits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in any way arising or resulting from or in connection with or related to any breach or inaccuracy of such representation and warranty made by such party. Any commission payable to the Brokers based on this Fifth Amendment shall be payable by Landlord in accordance with, and subject to, the terms of a separate agreement.</w:t>
      </w:r>
    </w:p>
    <w:p>
      <w:pPr>
        <w:spacing w:after="0" w:line="185"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Landlord’s Exculpation; CBRE Investment Management as Signatory</w:t>
      </w:r>
      <w:r>
        <w:rPr>
          <w:rFonts w:ascii="Times New Roman" w:cs="Times New Roman" w:eastAsia="Times New Roman" w:hAnsi="Times New Roman"/>
          <w:sz w:val="18"/>
          <w:szCs w:val="18"/>
          <w:color w:val="auto"/>
        </w:rPr>
        <w:t>. This Fifth Amendment is being executed by CBRE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LLC, a Delaware limited liability company (“</w:t>
      </w:r>
      <w:r>
        <w:rPr>
          <w:rFonts w:ascii="Times New Roman" w:cs="Times New Roman" w:eastAsia="Times New Roman" w:hAnsi="Times New Roman"/>
          <w:sz w:val="18"/>
          <w:szCs w:val="18"/>
          <w:u w:val="single" w:color="auto"/>
          <w:color w:val="auto"/>
        </w:rPr>
        <w:t>CBRE Investment Management</w:t>
      </w:r>
      <w:r>
        <w:rPr>
          <w:rFonts w:ascii="Times New Roman" w:cs="Times New Roman" w:eastAsia="Times New Roman" w:hAnsi="Times New Roman"/>
          <w:sz w:val="18"/>
          <w:szCs w:val="18"/>
          <w:color w:val="auto"/>
        </w:rPr>
        <w:t>”), as manager for Landlord, and Landlord certifies to Tenant that CBRE Investment Management is properly and duly authorized to so bind Landlord. No present or future officer, director, employee, trustee, partner, member, manager, retirant, beneficiary, internal investment contractor, investment manager or agent of Landlord shall have any personal liability, directly or indirectly, and recourse shall not be had against any such officer, director, employee, trustee, partner, member, manager, retirant, beneficiary, internal investment contractor, investment manager or agent under or in connection with the Lease or any other document or instrument heretofore or hereafter executed in connection with the Lease. Tenant hereby waives and releases any and all such personal liability and recourse; however, such waiver and release shall not restrict Tenant’s right to seek recourse against Landlord itself in accordance with, and subject to, the terms of the Lease. The limitations of liability provided in this Section are in addition to, and not in limitation of, any limitation on liability applicable to Landlord provided by Law. Tenant further acknowledges that CBRE Investment Management has entered into this Fifth Amendment as manager to Landlord, and Tenant agrees that all persons dealing with CBRE Investment Management must look solely to Landlord for the enforcement of any Claims arising under the Lease (subject to the limitations upon Landlord’s liability set forth above and in the Lease), as neither CBRE Investment Management nor any of its affiliated entities (including, but not limited to, CBRE, Inc. and CBRE Services, Inc.) nor any of their respective officers, directors, agents, managers, trustees, employees, members, investment managers, partners or shareholders assume any personal, corporate, partnership, limited liability company, or other liability for any of the obligations entered into by CBRE Investment Management as manager for Landlord.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5" w:name="page16"/>
    <w:bookmarkEnd w:id="15"/>
    <w:p>
      <w:pPr>
        <w:ind w:firstLine="436"/>
        <w:spacing w:after="0" w:line="259" w:lineRule="auto"/>
        <w:tabs>
          <w:tab w:leader="none" w:pos="6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California Accessibility Disclosure</w:t>
      </w:r>
      <w:r>
        <w:rPr>
          <w:rFonts w:ascii="Times New Roman" w:cs="Times New Roman" w:eastAsia="Times New Roman" w:hAnsi="Times New Roman"/>
          <w:sz w:val="18"/>
          <w:szCs w:val="18"/>
          <w:color w:val="auto"/>
        </w:rPr>
        <w:t>. Pursuant to California Civil Code Section 1938(a), Landlord hereby discloses to Tenant that,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mutual execution of this Fifth Amendment, the Leased Premises and the Property have not undergone inspection by a Certified Access Specialist (“</w:t>
      </w:r>
      <w:r>
        <w:rPr>
          <w:rFonts w:ascii="Times New Roman" w:cs="Times New Roman" w:eastAsia="Times New Roman" w:hAnsi="Times New Roman"/>
          <w:sz w:val="18"/>
          <w:szCs w:val="18"/>
          <w:u w:val="single" w:color="auto"/>
          <w:color w:val="auto"/>
        </w:rPr>
        <w:t>CASp</w:t>
      </w:r>
      <w:r>
        <w:rPr>
          <w:rFonts w:ascii="Times New Roman" w:cs="Times New Roman" w:eastAsia="Times New Roman" w:hAnsi="Times New Roman"/>
          <w:sz w:val="18"/>
          <w:szCs w:val="18"/>
          <w:color w:val="auto"/>
        </w:rPr>
        <w:t>”). As a result, Landlord hereby provides the following notice (the “</w:t>
      </w:r>
      <w:r>
        <w:rPr>
          <w:rFonts w:ascii="Times New Roman" w:cs="Times New Roman" w:eastAsia="Times New Roman" w:hAnsi="Times New Roman"/>
          <w:sz w:val="18"/>
          <w:szCs w:val="18"/>
          <w:u w:val="single" w:color="auto"/>
          <w:color w:val="auto"/>
        </w:rPr>
        <w:t>CASp Notice</w:t>
      </w:r>
      <w:r>
        <w:rPr>
          <w:rFonts w:ascii="Times New Roman" w:cs="Times New Roman" w:eastAsia="Times New Roman" w:hAnsi="Times New Roman"/>
          <w:sz w:val="18"/>
          <w:szCs w:val="18"/>
          <w:color w:val="auto"/>
        </w:rPr>
        <w:t>”) to Tenant as required by California Civil Code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1938(e):</w:t>
      </w:r>
    </w:p>
    <w:p>
      <w:pPr>
        <w:spacing w:after="0" w:line="9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3" w:lineRule="exact"/>
        <w:rPr>
          <w:sz w:val="20"/>
          <w:szCs w:val="20"/>
          <w:color w:val="auto"/>
        </w:rPr>
      </w:pPr>
    </w:p>
    <w:p>
      <w:pPr>
        <w:ind w:firstLine="436"/>
        <w:spacing w:after="0" w:line="253" w:lineRule="auto"/>
        <w:tabs>
          <w:tab w:leader="none" w:pos="71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Landlord is the successor in interest to Original Landlord and First Successor Landlord under the Lease. Landlord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ratify and confirm their respective rights and obligations under the Lease. Except as specifically herein amended, the Lease is and shall remain in full force and effect according to the terms thereof. In the event of any conflict between the terms of the Lease and the terms of this Fifth Amendment, the terms of this Fifth Amendment shall control. The headings to sections of this Fifth Amendment are for convenient reference only and shall not be used in interpreting this Fifth Amendment. This Fifth Amendment may be executed in counterparts, each of which shall be deemed an original, but all of which together shall constitute one and the same agreement. Delivery of an electronically executed signature page hereof by electronic transmission (including, without limitation, via emailed .pdf or DocuSign) shall specifically be deemed as effective as delivery of a manually executed signature page hereof. At Tenant’s request, Landlord shall execute a First Amendment to Memorandum of Lease with respect to this Fifth Amendment in a form reasonably satisfactory to Landlord and Tenant, and shall cause the same to be recorded in the Official Records of Santa Clara County, California, which First Amendment to Memorandum of Lease shall be recorded against the entire Project and shall include the rights described in Section 3 of that certain Amendment No. 6 to Lease for Building F and Building H, dated as of even date as this Fifth Amendment, by and between Santa Clara Phase III EFH, LLC, a Delaware limited liability company, and Tenant.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6" w:name="page17"/>
    <w:bookmarkEnd w:id="1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Landlord and Tenant have caused their duly authorized representatives to execute this Fifth Amendment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SANTA CLARA PHASE III G,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Santa Clara G LLC, a Delaware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limited liability company, its sole Member</w:t>
      </w:r>
    </w:p>
    <w:p>
      <w:pPr>
        <w:spacing w:after="0" w:line="207"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8"/>
          <w:szCs w:val="18"/>
          <w:color w:val="auto"/>
        </w:rPr>
        <w:t>By:</w:t>
        <w:tab/>
        <w:t>Santa Clara G REIT LLC, a Delaware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limited liability company, its sole Member</w:t>
      </w:r>
    </w:p>
    <w:p>
      <w:pPr>
        <w:spacing w:after="0" w:line="207"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18"/>
          <w:szCs w:val="18"/>
          <w:color w:val="auto"/>
        </w:rPr>
        <w:t>By:</w:t>
        <w:tab/>
        <w:t>Santa Clara Phase III REIT LLC, a Delaware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limited liability company, its Manager</w:t>
      </w:r>
    </w:p>
    <w:p>
      <w:pPr>
        <w:spacing w:after="0" w:line="207" w:lineRule="exact"/>
        <w:rPr>
          <w:sz w:val="20"/>
          <w:szCs w:val="20"/>
          <w:color w:val="auto"/>
        </w:rPr>
      </w:pPr>
    </w:p>
    <w:p>
      <w:pPr>
        <w:ind w:left="1360"/>
        <w:spacing w:after="0"/>
        <w:tabs>
          <w:tab w:leader="none" w:pos="1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Tannery Way Partners, LLC, a Delaware</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limited liability company, its Manager</w:t>
      </w:r>
    </w:p>
    <w:p>
      <w:pPr>
        <w:spacing w:after="0" w:line="207" w:lineRule="exact"/>
        <w:rPr>
          <w:sz w:val="20"/>
          <w:szCs w:val="20"/>
          <w:color w:val="auto"/>
        </w:rPr>
      </w:pPr>
    </w:p>
    <w:p>
      <w:pPr>
        <w:ind w:left="1800"/>
        <w:spacing w:after="0"/>
        <w:tabs>
          <w:tab w:leader="none" w:pos="2200" w:val="left"/>
        </w:tabs>
        <w:rPr>
          <w:sz w:val="20"/>
          <w:szCs w:val="20"/>
          <w:color w:val="auto"/>
        </w:rPr>
      </w:pPr>
      <w:r>
        <w:rPr>
          <w:rFonts w:ascii="Times New Roman" w:cs="Times New Roman" w:eastAsia="Times New Roman" w:hAnsi="Times New Roman"/>
          <w:sz w:val="18"/>
          <w:szCs w:val="18"/>
          <w:color w:val="auto"/>
        </w:rPr>
        <w:t>By:</w:t>
        <w:tab/>
        <w:t>CBRE Investment Management, LLC, a Delaware</w:t>
      </w:r>
    </w:p>
    <w:p>
      <w:pPr>
        <w:spacing w:after="0" w:line="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limited liability company, its Manager</w:t>
      </w:r>
    </w:p>
    <w:p>
      <w:pPr>
        <w:spacing w:after="0" w:line="207" w:lineRule="exact"/>
        <w:rPr>
          <w:sz w:val="20"/>
          <w:szCs w:val="20"/>
          <w:color w:val="auto"/>
        </w:rPr>
      </w:pPr>
    </w:p>
    <w:p>
      <w:pPr>
        <w:ind w:left="2220"/>
        <w:spacing w:after="0"/>
        <w:tabs>
          <w:tab w:leader="none" w:pos="2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Xi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17145</wp:posOffset>
            </wp:positionV>
            <wp:extent cx="2657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Nikesh Arora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Nikesh Arora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720"/>
          </w:cols>
          <w:pgMar w:left="440" w:top="266" w:right="7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6 TO LEASE</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AMENDMENT NO. 6 TO LEASE </w:t>
      </w:r>
      <w:r>
        <w:rPr>
          <w:rFonts w:ascii="Times New Roman" w:cs="Times New Roman" w:eastAsia="Times New Roman" w:hAnsi="Times New Roman"/>
          <w:sz w:val="18"/>
          <w:szCs w:val="18"/>
          <w:color w:val="auto"/>
        </w:rPr>
        <w:t>dated as of April 8, 2026 (this “</w:t>
      </w:r>
      <w:r>
        <w:rPr>
          <w:rFonts w:ascii="Times New Roman" w:cs="Times New Roman" w:eastAsia="Times New Roman" w:hAnsi="Times New Roman"/>
          <w:sz w:val="18"/>
          <w:szCs w:val="18"/>
          <w:u w:val="single" w:color="auto"/>
          <w:color w:val="auto"/>
        </w:rPr>
        <w:t>Sixth Amendment</w:t>
      </w:r>
      <w:r>
        <w:rPr>
          <w:rFonts w:ascii="Times New Roman" w:cs="Times New Roman" w:eastAsia="Times New Roman" w:hAnsi="Times New Roman"/>
          <w:sz w:val="18"/>
          <w:szCs w:val="18"/>
          <w:color w:val="auto"/>
        </w:rPr>
        <w:t>”), is entered into by and between</w:t>
      </w:r>
      <w:r>
        <w:rPr>
          <w:rFonts w:ascii="Times New Roman" w:cs="Times New Roman" w:eastAsia="Times New Roman" w:hAnsi="Times New Roman"/>
          <w:sz w:val="18"/>
          <w:szCs w:val="18"/>
          <w:b w:val="1"/>
          <w:bCs w:val="1"/>
          <w:color w:val="auto"/>
        </w:rPr>
        <w:t xml:space="preserve"> SANTA CLARA PHASE III EFH,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PALO ALTO NETWORKS, INC.</w:t>
      </w:r>
      <w:r>
        <w:rPr>
          <w:rFonts w:ascii="Times New Roman" w:cs="Times New Roman" w:eastAsia="Times New Roman" w:hAnsi="Times New Roman"/>
          <w:sz w:val="18"/>
          <w:szCs w:val="18"/>
          <w:color w:val="auto"/>
        </w:rPr>
        <w:t>,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with reference to the following: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A. WHEREAS</w:t>
      </w:r>
      <w:r>
        <w:rPr>
          <w:rFonts w:ascii="Times New Roman" w:cs="Times New Roman" w:eastAsia="Times New Roman" w:hAnsi="Times New Roman"/>
          <w:sz w:val="18"/>
          <w:szCs w:val="18"/>
          <w:color w:val="auto"/>
        </w:rPr>
        <w:t>, Santa Clara Campus Property Owner I LLC, a Delaware limited liability company and Landlord’s predecessor in interest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Lease (“</w:t>
      </w:r>
      <w:r>
        <w:rPr>
          <w:rFonts w:ascii="Times New Roman" w:cs="Times New Roman" w:eastAsia="Times New Roman" w:hAnsi="Times New Roman"/>
          <w:sz w:val="18"/>
          <w:szCs w:val="18"/>
          <w:u w:val="single" w:color="auto"/>
          <w:color w:val="auto"/>
        </w:rPr>
        <w:t>Original Landlord</w:t>
      </w:r>
      <w:r>
        <w:rPr>
          <w:rFonts w:ascii="Times New Roman" w:cs="Times New Roman" w:eastAsia="Times New Roman" w:hAnsi="Times New Roman"/>
          <w:sz w:val="18"/>
          <w:szCs w:val="18"/>
          <w:color w:val="auto"/>
        </w:rPr>
        <w:t>”), and Tenant entered into that certain Lease dated as of May 28, 2015 (the “</w:t>
      </w:r>
      <w:r>
        <w:rPr>
          <w:rFonts w:ascii="Times New Roman" w:cs="Times New Roman" w:eastAsia="Times New Roman" w:hAnsi="Times New Roman"/>
          <w:sz w:val="18"/>
          <w:szCs w:val="18"/>
          <w:u w:val="single" w:color="auto"/>
          <w:color w:val="auto"/>
        </w:rPr>
        <w:t>Original Lease</w:t>
      </w:r>
      <w:r>
        <w:rPr>
          <w:rFonts w:ascii="Times New Roman" w:cs="Times New Roman" w:eastAsia="Times New Roman" w:hAnsi="Times New Roman"/>
          <w:sz w:val="18"/>
          <w:szCs w:val="18"/>
          <w:color w:val="auto"/>
        </w:rPr>
        <w:t>”), as amended by (a) that certain Amendment No. 1 to Lease dated as of November 9, 2015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by and between Original Landlord and Tenant, (b) that certain Amendment No. 2 to Lease dated as of September 16, 2016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by and between Original Landlord and Tenant, (c) that certain Amendment No. 3 to Lease dated as of November 16, 2016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by and between Original Landlord and Tenant, (d) that certain Amendment No. 4 to Lease dated as of June 22, 2017 (the “</w:t>
      </w: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by and between Santa Clara EFH LLC, a Delaware limited liability company and Landlord’s predecessor in interest under the Lease (“</w:t>
      </w:r>
      <w:r>
        <w:rPr>
          <w:rFonts w:ascii="Times New Roman" w:cs="Times New Roman" w:eastAsia="Times New Roman" w:hAnsi="Times New Roman"/>
          <w:sz w:val="18"/>
          <w:szCs w:val="18"/>
          <w:u w:val="single" w:color="auto"/>
          <w:color w:val="auto"/>
        </w:rPr>
        <w:t>First Successor Landlord</w:t>
      </w:r>
      <w:r>
        <w:rPr>
          <w:rFonts w:ascii="Times New Roman" w:cs="Times New Roman" w:eastAsia="Times New Roman" w:hAnsi="Times New Roman"/>
          <w:sz w:val="18"/>
          <w:szCs w:val="18"/>
          <w:color w:val="auto"/>
        </w:rPr>
        <w:t>”), and Tenant, and (e) that certain Amendment No. 5 to Lease dated as of September 29, 2017 (the “</w:t>
      </w:r>
      <w:r>
        <w:rPr>
          <w:rFonts w:ascii="Times New Roman" w:cs="Times New Roman" w:eastAsia="Times New Roman" w:hAnsi="Times New Roman"/>
          <w:sz w:val="18"/>
          <w:szCs w:val="18"/>
          <w:u w:val="single" w:color="auto"/>
          <w:color w:val="auto"/>
        </w:rPr>
        <w:t>Fifth Amendment</w:t>
      </w:r>
      <w:r>
        <w:rPr>
          <w:rFonts w:ascii="Times New Roman" w:cs="Times New Roman" w:eastAsia="Times New Roman" w:hAnsi="Times New Roman"/>
          <w:sz w:val="18"/>
          <w:szCs w:val="18"/>
          <w:color w:val="auto"/>
        </w:rPr>
        <w:t>” and, together with the Original Lease, the First Amendment, the Second Amendment, the Third Amendment and the Fourth Amendment, collectively,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by and between Landlord and Tenant, for the lease of certain premises (the “</w:t>
      </w:r>
      <w:r>
        <w:rPr>
          <w:rFonts w:ascii="Times New Roman" w:cs="Times New Roman" w:eastAsia="Times New Roman" w:hAnsi="Times New Roman"/>
          <w:sz w:val="18"/>
          <w:szCs w:val="18"/>
          <w:u w:val="single" w:color="auto"/>
          <w:color w:val="auto"/>
        </w:rPr>
        <w:t>Leased Premises</w:t>
      </w:r>
      <w:r>
        <w:rPr>
          <w:rFonts w:ascii="Times New Roman" w:cs="Times New Roman" w:eastAsia="Times New Roman" w:hAnsi="Times New Roman"/>
          <w:sz w:val="18"/>
          <w:szCs w:val="18"/>
          <w:color w:val="auto"/>
        </w:rPr>
        <w:t>”) consisting of approximately 340,923 rentable square feet as follows: (i) 310,438 rentable square feet in that certain building with an address of 3100 Tannery Way, Santa Clara, California, 95054, commonly known and identified as Building F (“</w:t>
      </w:r>
      <w:r>
        <w:rPr>
          <w:rFonts w:ascii="Times New Roman" w:cs="Times New Roman" w:eastAsia="Times New Roman" w:hAnsi="Times New Roman"/>
          <w:sz w:val="18"/>
          <w:szCs w:val="18"/>
          <w:u w:val="single" w:color="auto"/>
          <w:color w:val="auto"/>
        </w:rPr>
        <w:t>Building F</w:t>
      </w:r>
      <w:r>
        <w:rPr>
          <w:rFonts w:ascii="Times New Roman" w:cs="Times New Roman" w:eastAsia="Times New Roman" w:hAnsi="Times New Roman"/>
          <w:sz w:val="18"/>
          <w:szCs w:val="18"/>
          <w:color w:val="auto"/>
        </w:rPr>
        <w:t>”), and (ii) 30,485 rentable square feet in that certain building with an address of 3130 Tannery Way, Santa Clara, California, 95054, commonly known and identified as Building H (“</w:t>
      </w:r>
      <w:r>
        <w:rPr>
          <w:rFonts w:ascii="Times New Roman" w:cs="Times New Roman" w:eastAsia="Times New Roman" w:hAnsi="Times New Roman"/>
          <w:sz w:val="18"/>
          <w:szCs w:val="18"/>
          <w:u w:val="single" w:color="auto"/>
          <w:color w:val="auto"/>
        </w:rPr>
        <w:t>Building H</w:t>
      </w:r>
      <w:r>
        <w:rPr>
          <w:rFonts w:ascii="Times New Roman" w:cs="Times New Roman" w:eastAsia="Times New Roman" w:hAnsi="Times New Roman"/>
          <w:sz w:val="18"/>
          <w:szCs w:val="18"/>
          <w:color w:val="auto"/>
        </w:rPr>
        <w:t>” and, together with Building F, collectively, the “</w:t>
      </w:r>
      <w:r>
        <w:rPr>
          <w:rFonts w:ascii="Times New Roman" w:cs="Times New Roman" w:eastAsia="Times New Roman" w:hAnsi="Times New Roman"/>
          <w:sz w:val="18"/>
          <w:szCs w:val="18"/>
          <w:u w:val="single" w:color="auto"/>
          <w:color w:val="auto"/>
        </w:rPr>
        <w:t>Buildings</w:t>
      </w:r>
      <w:r>
        <w:rPr>
          <w:rFonts w:ascii="Times New Roman" w:cs="Times New Roman" w:eastAsia="Times New Roman" w:hAnsi="Times New Roman"/>
          <w:sz w:val="18"/>
          <w:szCs w:val="18"/>
          <w:color w:val="auto"/>
        </w:rPr>
        <w:t>”), all as more particularly described in the Lease. Capitalized terms used herein and not otherwise defined herein shall have the meanings ascribed to such terms in the Lease. Unless the context clearly indicates otherwise, all references to the “Lease” in the Lease and in this Sixth Amendment shall hereinafter be deemed to refer to the Lease, as amended hereby.</w:t>
      </w:r>
    </w:p>
    <w:p>
      <w:pPr>
        <w:spacing w:after="0" w:line="19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B. WHEREAS</w:t>
      </w:r>
      <w:r>
        <w:rPr>
          <w:rFonts w:ascii="Times New Roman" w:cs="Times New Roman" w:eastAsia="Times New Roman" w:hAnsi="Times New Roman"/>
          <w:sz w:val="18"/>
          <w:szCs w:val="18"/>
          <w:color w:val="auto"/>
        </w:rPr>
        <w:t>, Landlord and Tenant desire by this Sixth Amendment to amend the Lease in order to (a) extend the Lease Term, (b) provide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revised Base Monthly Rent, (c) provide for the construction of the “Tenant Improvements”, as defined in that certain work letter (the “</w:t>
      </w:r>
      <w:r>
        <w:rPr>
          <w:rFonts w:ascii="Times New Roman" w:cs="Times New Roman" w:eastAsia="Times New Roman" w:hAnsi="Times New Roman"/>
          <w:sz w:val="18"/>
          <w:szCs w:val="18"/>
          <w:u w:val="single" w:color="auto"/>
          <w:color w:val="auto"/>
        </w:rPr>
        <w:t>Work Letter</w:t>
      </w:r>
      <w:r>
        <w:rPr>
          <w:rFonts w:ascii="Times New Roman" w:cs="Times New Roman" w:eastAsia="Times New Roman" w:hAnsi="Times New Roman"/>
          <w:sz w:val="18"/>
          <w:szCs w:val="18"/>
          <w:color w:val="auto"/>
        </w:rPr>
        <w:t xml:space="preserve">”) attached hereto and incorporated herein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(d) further amend, modify and supplement the Lease as set forth herein.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8" w:name="page19"/>
    <w:bookmarkEnd w:id="18"/>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in consideration of the foregoing Recitals (which are incorporated herein by this reference), for the mutual promises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and for other good and valuable consideration, the receipt and sufficiency of which are hereby acknowledged, Landlord and Tenant hereby agree as follows: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620" w:hanging="184"/>
        <w:spacing w:after="0"/>
        <w:tabs>
          <w:tab w:leader="none" w:pos="6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Extension of Lease Term; Options to Extend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46"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Extension of Lease Term</w:t>
      </w:r>
      <w:r>
        <w:rPr>
          <w:rFonts w:ascii="Times New Roman" w:cs="Times New Roman" w:eastAsia="Times New Roman" w:hAnsi="Times New Roman"/>
          <w:sz w:val="18"/>
          <w:szCs w:val="18"/>
          <w:color w:val="auto"/>
        </w:rPr>
        <w:t>. Landlord and Tenant acknowledge that the Lease Term is scheduled to expire on July 31, 2028.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contained in the Lease, the Lease Term is hereby extended for a period of one hundred forty-four (144) months (the “</w:t>
      </w: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commencing on August 1, 2028 (the “</w:t>
      </w:r>
      <w:r>
        <w:rPr>
          <w:rFonts w:ascii="Times New Roman" w:cs="Times New Roman" w:eastAsia="Times New Roman" w:hAnsi="Times New Roman"/>
          <w:sz w:val="18"/>
          <w:szCs w:val="18"/>
          <w:u w:val="single" w:color="auto"/>
          <w:color w:val="auto"/>
        </w:rPr>
        <w:t>Extension Term Commencement Date</w:t>
      </w:r>
      <w:r>
        <w:rPr>
          <w:rFonts w:ascii="Times New Roman" w:cs="Times New Roman" w:eastAsia="Times New Roman" w:hAnsi="Times New Roman"/>
          <w:sz w:val="18"/>
          <w:szCs w:val="18"/>
          <w:color w:val="auto"/>
        </w:rPr>
        <w:t>”) and ending on July 31, 2040, unless sooner terminated in accordance with the terms of the Lease. Unless otherwise hereafter expressly agreed in writing by Landlord and Tenant in their sole and absolute discretion, except to the extent provided in Section 15 of the Original Lease (as modified by Section 1(b) below), Tenant shall have no right or option to extend or otherwise renew the Lease Term beyond the Extension Term. In addition, unless the context clearly indicates otherwise, (i) any reference in the Lease to the “Lease Term” or words of similar import shall mean the Lease Term together with the Extension Term (and, if successfully exercised under Section 15 of the Original Lease as modified by Section 1(b) below, the First Extension Period and/or the Second Extension Period), and (ii) any reference in the Lease to the “Lease Expiration Date” or words of similar import shall mean July 31, 2040 (or, if successfully exercised under Section 15 of the Original Lease as modified by Section 1(b) below, the last day of the First Extension Period and/or the Second Extension Period, as may be applicable).</w:t>
      </w:r>
    </w:p>
    <w:p>
      <w:pPr>
        <w:spacing w:after="0" w:line="182" w:lineRule="exact"/>
        <w:rPr>
          <w:rFonts w:ascii="Times New Roman" w:cs="Times New Roman" w:eastAsia="Times New Roman" w:hAnsi="Times New Roman"/>
          <w:sz w:val="18"/>
          <w:szCs w:val="18"/>
          <w:b w:val="1"/>
          <w:bCs w:val="1"/>
          <w:color w:val="auto"/>
        </w:rPr>
      </w:pPr>
    </w:p>
    <w:p>
      <w:pPr>
        <w:ind w:right="80" w:firstLine="987"/>
        <w:spacing w:after="0" w:line="254" w:lineRule="auto"/>
        <w:tabs>
          <w:tab w:leader="none" w:pos="1256"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 to Extend</w:t>
      </w:r>
      <w:r>
        <w:rPr>
          <w:rFonts w:ascii="Times New Roman" w:cs="Times New Roman" w:eastAsia="Times New Roman" w:hAnsi="Times New Roman"/>
          <w:sz w:val="18"/>
          <w:szCs w:val="18"/>
          <w:color w:val="auto"/>
        </w:rPr>
        <w:t>. The terms of Section 15 of the Original Lease shall continue to apply in full force and effect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into this Sixth Amendment for such purposes, except that, notwithstanding anything to the contrary contained in such Section, (i) there shall be no Third Extension Period, and all references in such Section to the Third Extension Period shall be deemed deleted and of no force or effect as if such Section were written to only apply to the First Extension Period and/or the Second Extension Period, as applicable, (ii) all references in such Section to the initial “Lease Term” or words of similar import shall, unless the context clearly indicates otherwise, instead be deemed to mean and refer to the Extension Term, and (iii) all references in such Section to “this Lease” shall, unless the context clearly indicates otherwise, instead be deemed to mean and refer to the Lease as modified by this Sixth Amendment. For the avoidance of doubt, the parties specifically agree that (A) if the First Extension Period is successfully exercised, it shall commence on August 1, 2040 and, unless sooner terminated in accordance with the terms of the Lease, end on July 31, 2046, and (B) if the Second Extension Period is successfully exercised, it shall commence on August 1, 2046 and, unless sooner terminated in accordance with the terms of the Lease, end on July 31, 2052.</w:t>
      </w:r>
    </w:p>
    <w:p>
      <w:pPr>
        <w:spacing w:after="0" w:line="185" w:lineRule="exact"/>
        <w:rPr>
          <w:rFonts w:ascii="Times New Roman" w:cs="Times New Roman" w:eastAsia="Times New Roman" w:hAnsi="Times New Roman"/>
          <w:sz w:val="18"/>
          <w:szCs w:val="18"/>
          <w:b w:val="1"/>
          <w:bCs w:val="1"/>
          <w:color w:val="auto"/>
        </w:rPr>
      </w:pPr>
    </w:p>
    <w:p>
      <w:pPr>
        <w:ind w:right="100" w:firstLine="436"/>
        <w:spacing w:after="0" w:line="262" w:lineRule="auto"/>
        <w:tabs>
          <w:tab w:leader="none" w:pos="6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Base Monthly Rent</w:t>
      </w:r>
      <w:r>
        <w:rPr>
          <w:rFonts w:ascii="Times New Roman" w:cs="Times New Roman" w:eastAsia="Times New Roman" w:hAnsi="Times New Roman"/>
          <w:sz w:val="18"/>
          <w:szCs w:val="18"/>
          <w:color w:val="auto"/>
        </w:rPr>
        <w:t>. Notwithstanding anything to the contrary contained in the Lease, and in addition to all other amounts due and payable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in connection with the Lease to be paid in the manner specified therein, including, without limitation, any applicable Property Operating Expenses, and amounts due (if any) in connection with Tenant’s indemnification, insurance, maintenance, repair, utilities, and services obligations, Tenant shall, beginning on the Extension Term Commencement Date, pay in the manner specified in the Lease, Base Monthly Rent as follows: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9" w:name="page20"/>
    <w:bookmarkEnd w:id="19"/>
    <w:tbl>
      <w:tblPr>
        <w:tblLayout w:type="fixed"/>
        <w:tblInd w:w="1320" w:type="dxa"/>
        <w:tblCellMar>
          <w:top w:w="0" w:type="dxa"/>
          <w:left w:w="0" w:type="dxa"/>
          <w:bottom w:w="0" w:type="dxa"/>
          <w:right w:w="0" w:type="dxa"/>
        </w:tblCellMar>
      </w:tblPr>
      <w:tr>
        <w:trPr>
          <w:trHeight w:val="173"/>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Base Monthly Rent</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Annually</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5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8/1/28 – 7/31/29</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1,278,461.25</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$15,341,535.00</w:t>
            </w:r>
          </w:p>
        </w:tc>
        <w:tc>
          <w:tcPr>
            <w:tcW w:w="40" w:type="dxa"/>
            <w:vAlign w:val="bottom"/>
            <w:shd w:val="clear" w:color="auto" w:fill="CCEEFF"/>
          </w:tcPr>
          <w:p>
            <w:pPr>
              <w:spacing w:after="0"/>
              <w:rPr>
                <w:sz w:val="17"/>
                <w:szCs w:val="17"/>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8/1/29 – 7/31/30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1,304,030.48</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$15,648,365.76</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8/1/30 – 7/31/31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1,330,111.09</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$15,961,333.08</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8/1/31 – 7/31/32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1,356,713.31</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$16,280,559.72</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8/1/32 – 7/31/33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1,383,847.58</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$16,606,170.96</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8/1/33 – 7/31/34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1,411,524.53</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$16,938,294.36</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8/1/34 – 7/31/35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1,439,755.02</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$17,277,060.24</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8/1/35 – 7/31/36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1,468,550.12</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$17,622,601.44</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8/1/36 – 7/31/37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1,497,921.12</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$17,975,053.44</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8/1/37 – 7/31/38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1,527,879.54</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$18,334,554.48</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8/1/38 – 7/31/39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1,558,437.13</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$18,701,245.56</w:t>
            </w: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8/1/39 – 7/31/40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1,589,605.87</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$19,075,270.44</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Sixth Amendment, but subject to the terms of this paragraph, Base Monthly Rent shall be abated during the first twelve (12) months of the Extension Term (i.e., from August 1, 2028 – July 31, 2029) (collectively, the “</w:t>
      </w:r>
      <w:r>
        <w:rPr>
          <w:rFonts w:ascii="Times New Roman" w:cs="Times New Roman" w:eastAsia="Times New Roman" w:hAnsi="Times New Roman"/>
          <w:sz w:val="18"/>
          <w:szCs w:val="18"/>
          <w:u w:val="single" w:color="auto"/>
          <w:color w:val="auto"/>
        </w:rPr>
        <w:t>Base Monthly 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Abatement</w:t>
      </w:r>
      <w:r>
        <w:rPr>
          <w:rFonts w:ascii="Times New Roman" w:cs="Times New Roman" w:eastAsia="Times New Roman" w:hAnsi="Times New Roman"/>
          <w:sz w:val="18"/>
          <w:szCs w:val="18"/>
          <w:color w:val="auto"/>
        </w:rPr>
        <w:t>”). Tenant shall pay all other amounts due in connection with the Lease during such months of Base Monthly Rent Abatement, including, without limitation, any applicable Property Operating Expenses, and amounts due (if any) in connection with Tenant’s indemnification, insurance, maintenance, repair, utilities, and services obligations.</w:t>
      </w:r>
    </w:p>
    <w:p>
      <w:pPr>
        <w:spacing w:after="0" w:line="179" w:lineRule="exact"/>
        <w:rPr>
          <w:sz w:val="20"/>
          <w:szCs w:val="20"/>
          <w:color w:val="auto"/>
        </w:rPr>
      </w:pPr>
    </w:p>
    <w:p>
      <w:pPr>
        <w:ind w:right="80" w:firstLine="436"/>
        <w:spacing w:after="0" w:line="275" w:lineRule="auto"/>
        <w:tabs>
          <w:tab w:leader="none" w:pos="62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Right of First Offer to Purchase</w:t>
      </w:r>
      <w:r>
        <w:rPr>
          <w:rFonts w:ascii="Times New Roman" w:cs="Times New Roman" w:eastAsia="Times New Roman" w:hAnsi="Times New Roman"/>
          <w:sz w:val="17"/>
          <w:szCs w:val="17"/>
          <w:color w:val="auto"/>
        </w:rPr>
        <w:t>. Section 16.4 of the Original Lease, as modified by Section 5 of the First Amendment, shall be deemed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reinstated and in full force and effect in accordance with, and subject to, the terms therein (including, without limitation, with respect to any condition required for Tenant’s rights thereunder to apply and with respect to any termination of such rights as provided therein), except that, notwithstanding anything to the contrary contained in such Section 16.4, all references therein to Menlo Equities Development Company IX LLC and Beacon Santa Clara Campus Equity LLC shall be deemed deleted and replaced with the entity that comprises the Landlord named in this Sixth Amendment (the “</w:t>
      </w:r>
      <w:r>
        <w:rPr>
          <w:rFonts w:ascii="Times New Roman" w:cs="Times New Roman" w:eastAsia="Times New Roman" w:hAnsi="Times New Roman"/>
          <w:sz w:val="17"/>
          <w:szCs w:val="17"/>
          <w:u w:val="single" w:color="auto"/>
          <w:color w:val="auto"/>
        </w:rPr>
        <w:t>Named Landlord</w:t>
      </w:r>
      <w:r>
        <w:rPr>
          <w:rFonts w:ascii="Times New Roman" w:cs="Times New Roman" w:eastAsia="Times New Roman" w:hAnsi="Times New Roman"/>
          <w:sz w:val="17"/>
          <w:szCs w:val="17"/>
          <w:color w:val="auto"/>
        </w:rPr>
        <w:t>”) or any other special purpose entity beneficially owned and controlled by Named Landlord or Named Landlord’s beneficial owner.</w:t>
      </w:r>
    </w:p>
    <w:p>
      <w:pPr>
        <w:spacing w:after="0" w:line="168" w:lineRule="exact"/>
        <w:rPr>
          <w:rFonts w:ascii="Times New Roman" w:cs="Times New Roman" w:eastAsia="Times New Roman" w:hAnsi="Times New Roman"/>
          <w:sz w:val="17"/>
          <w:szCs w:val="17"/>
          <w:b w:val="1"/>
          <w:bCs w:val="1"/>
          <w:color w:val="auto"/>
        </w:rPr>
      </w:pPr>
    </w:p>
    <w:p>
      <w:pPr>
        <w:ind w:right="80" w:firstLine="436"/>
        <w:spacing w:after="0" w:line="268" w:lineRule="auto"/>
        <w:tabs>
          <w:tab w:leader="none" w:pos="6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Lease Terms Remaining in Effect</w:t>
      </w:r>
      <w:r>
        <w:rPr>
          <w:rFonts w:ascii="Times New Roman" w:cs="Times New Roman" w:eastAsia="Times New Roman" w:hAnsi="Times New Roman"/>
          <w:sz w:val="18"/>
          <w:szCs w:val="18"/>
          <w:color w:val="auto"/>
        </w:rPr>
        <w:t>. For the avoidance of doubt, the parties specifically acknowledge and agree that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terms of the Lease shall remain in full force and effect without modification by this Sixth Amendment except to the extent expressly provided otherwise herein:</w:t>
      </w:r>
    </w:p>
    <w:p>
      <w:pPr>
        <w:spacing w:after="0" w:line="66"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parking;</w:t>
      </w:r>
    </w:p>
    <w:p>
      <w:pPr>
        <w:spacing w:after="0" w:line="22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signage;</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Tenant’s payment of any applicable Property Operating Expenses;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63" w:right="559" w:bottom="1440" w:gutter="0" w:footer="0" w:header="0"/>
        </w:sectPr>
      </w:pPr>
    </w:p>
    <w:bookmarkStart w:id="20" w:name="page21"/>
    <w:bookmarkEnd w:id="20"/>
    <w:p>
      <w:pPr>
        <w:ind w:left="-60" w:right="20" w:firstLine="987"/>
        <w:spacing w:after="0" w:line="282" w:lineRule="auto"/>
        <w:tabs>
          <w:tab w:leader="none" w:pos="119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of the Lease regarding any SNDA (as defined in Section 13.3 of the Original Lease); provided, that, Landlord represents and warrants that there are no ground leases, mortgages, or deeds of trust which affect the Property as of the date hereof;</w:t>
      </w:r>
    </w:p>
    <w:p>
      <w:pPr>
        <w:spacing w:after="0" w:line="161" w:lineRule="exact"/>
        <w:rPr>
          <w:rFonts w:ascii="Times New Roman" w:cs="Times New Roman" w:eastAsia="Times New Roman" w:hAnsi="Times New Roman"/>
          <w:sz w:val="18"/>
          <w:szCs w:val="18"/>
          <w:b w:val="1"/>
          <w:bCs w:val="1"/>
          <w:color w:val="auto"/>
        </w:rPr>
      </w:pPr>
    </w:p>
    <w:p>
      <w:pPr>
        <w:ind w:left="-60" w:right="40" w:firstLine="987"/>
        <w:spacing w:after="0" w:line="261" w:lineRule="auto"/>
        <w:tabs>
          <w:tab w:leader="none" w:pos="117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Tenant’s Building Share and Tenant’s Project Share (the parties additionally acknowledge and agree that the rentable square footages and percentages already being used to calculate Tenant’s Building Share and Tenant’s Project Share as of the date of mutual execution of this Sixth Amendment shall be deemed conclusive and binding for all purposes under the Lease, including, without limitation, with respect to any and all Rent heretofore and hereafter payable by Tenant in connection therewith);</w:t>
      </w:r>
    </w:p>
    <w:p>
      <w:pPr>
        <w:spacing w:after="0" w:line="179" w:lineRule="exact"/>
        <w:rPr>
          <w:rFonts w:ascii="Times New Roman" w:cs="Times New Roman" w:eastAsia="Times New Roman" w:hAnsi="Times New Roman"/>
          <w:sz w:val="18"/>
          <w:szCs w:val="18"/>
          <w:b w:val="1"/>
          <w:bCs w:val="1"/>
          <w:color w:val="auto"/>
        </w:rPr>
      </w:pPr>
    </w:p>
    <w:p>
      <w:pPr>
        <w:ind w:left="1160" w:hanging="233"/>
        <w:spacing w:after="0"/>
        <w:tabs>
          <w:tab w:leader="none" w:pos="116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the Permitted Use;</w:t>
      </w:r>
    </w:p>
    <w:p>
      <w:pPr>
        <w:spacing w:after="0" w:line="225" w:lineRule="exact"/>
        <w:rPr>
          <w:rFonts w:ascii="Times New Roman" w:cs="Times New Roman" w:eastAsia="Times New Roman" w:hAnsi="Times New Roman"/>
          <w:sz w:val="18"/>
          <w:szCs w:val="18"/>
          <w:b w:val="1"/>
          <w:bCs w:val="1"/>
          <w:color w:val="auto"/>
        </w:rPr>
      </w:pPr>
    </w:p>
    <w:p>
      <w:pPr>
        <w:ind w:left="-60" w:firstLine="987"/>
        <w:spacing w:after="0" w:line="256" w:lineRule="auto"/>
        <w:tabs>
          <w:tab w:leader="none" w:pos="118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Tenant’s removal obligations in connection with surrendering the Leased Premises at the expiration or earlier termination of the Lease; provided, that, notwithstanding anything to the contrary contained in the Lease, (i) Landlord may not require Tenant to remove any alterations or improvements existing in the Leased Premises as of the date hereof; (ii) Landlord may require Tenant to remove, at the expiration or earlier termination of the Lease and at Tenant’s sole cost and expense, any Tenant Improvements that are Non-Standard Improvements (subject to the terms of the Lease regarding removal of Non-Standard Improvements); and (iii) Landlord shall notify Tenant of any such removal obligation no later than the time Landlord issues approval, pursuant to the terms of the Work Letter, of the Tenant Improvement in question; and</w:t>
      </w:r>
    </w:p>
    <w:p>
      <w:pPr>
        <w:spacing w:after="0" w:line="187" w:lineRule="exact"/>
        <w:rPr>
          <w:rFonts w:ascii="Times New Roman" w:cs="Times New Roman" w:eastAsia="Times New Roman" w:hAnsi="Times New Roman"/>
          <w:sz w:val="18"/>
          <w:szCs w:val="18"/>
          <w:b w:val="1"/>
          <w:bCs w:val="1"/>
          <w:color w:val="auto"/>
        </w:rPr>
      </w:pPr>
    </w:p>
    <w:p>
      <w:pPr>
        <w:ind w:left="-60" w:right="20" w:firstLine="987"/>
        <w:spacing w:after="0" w:line="282" w:lineRule="auto"/>
        <w:tabs>
          <w:tab w:leader="none" w:pos="119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Lease regarding assignment and subletting; provided, that, the second sentence in the last paragraph of Article 7 of the Original Lease (beginning with “No subtenant shall” and ending with “by any other party”) is hereby deleted.</w:t>
      </w:r>
    </w:p>
    <w:p>
      <w:pPr>
        <w:spacing w:after="0" w:line="157" w:lineRule="exact"/>
        <w:rPr>
          <w:rFonts w:ascii="Times New Roman" w:cs="Times New Roman" w:eastAsia="Times New Roman" w:hAnsi="Times New Roman"/>
          <w:sz w:val="18"/>
          <w:szCs w:val="18"/>
          <w:b w:val="1"/>
          <w:bCs w:val="1"/>
          <w:color w:val="auto"/>
        </w:rPr>
      </w:pPr>
    </w:p>
    <w:p>
      <w:pPr>
        <w:ind w:left="-60" w:right="120" w:firstLine="436"/>
        <w:spacing w:after="0" w:line="286" w:lineRule="auto"/>
        <w:tabs>
          <w:tab w:leader="none" w:pos="5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Until such time as Landlord or Tenant delivers written notice to the other of any change to any such address, Landlord’s and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for any notice required or permitted to be given under the Lease (collectively,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shall be as follows:</w:t>
      </w:r>
    </w:p>
    <w:p>
      <w:pPr>
        <w:spacing w:after="0" w:line="46" w:lineRule="exact"/>
        <w:rPr>
          <w:rFonts w:ascii="Times New Roman" w:cs="Times New Roman" w:eastAsia="Times New Roman" w:hAnsi="Times New Roman"/>
          <w:sz w:val="18"/>
          <w:szCs w:val="18"/>
          <w:b w:val="1"/>
          <w:bCs w:val="1"/>
          <w:color w:val="auto"/>
        </w:rPr>
      </w:pPr>
    </w:p>
    <w:p>
      <w:pPr>
        <w:ind w:left="1180" w:hanging="253"/>
        <w:spacing w:after="0"/>
        <w:tabs>
          <w:tab w:leader="none" w:pos="1180"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Landlord’s Notice Address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 CBRE Investment Management, LLC</w:t>
      </w:r>
    </w:p>
    <w:p>
      <w:pPr>
        <w:ind w:left="1360"/>
        <w:spacing w:after="0" w:line="196" w:lineRule="auto"/>
        <w:rPr>
          <w:sz w:val="20"/>
          <w:szCs w:val="20"/>
          <w:color w:val="auto"/>
        </w:rPr>
      </w:pPr>
      <w:r>
        <w:rPr>
          <w:rFonts w:ascii="Times New Roman" w:cs="Times New Roman" w:eastAsia="Times New Roman" w:hAnsi="Times New Roman"/>
          <w:sz w:val="18"/>
          <w:szCs w:val="18"/>
          <w:color w:val="auto"/>
        </w:rPr>
        <w:t>200 Park Avenue,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Tannery Way (Santa Clara) Portfolio Manager</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CBRE, Inc.</w:t>
      </w:r>
    </w:p>
    <w:p>
      <w:pPr>
        <w:ind w:left="1360"/>
        <w:spacing w:after="0" w:line="196" w:lineRule="auto"/>
        <w:rPr>
          <w:sz w:val="20"/>
          <w:szCs w:val="20"/>
          <w:color w:val="auto"/>
        </w:rPr>
      </w:pPr>
      <w:r>
        <w:rPr>
          <w:rFonts w:ascii="Times New Roman" w:cs="Times New Roman" w:eastAsia="Times New Roman" w:hAnsi="Times New Roman"/>
          <w:sz w:val="18"/>
          <w:szCs w:val="18"/>
          <w:color w:val="auto"/>
        </w:rPr>
        <w:t>225 West Santa Clara Street,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San Jose, California 95113</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Collette Brown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70" w:right="499" w:bottom="1440" w:gutter="0" w:footer="0" w:header="0"/>
        </w:sectPr>
      </w:pPr>
    </w:p>
    <w:bookmarkStart w:id="21" w:name="page22"/>
    <w:bookmarkEnd w:id="21"/>
    <w:p>
      <w:pPr>
        <w:ind w:left="1240" w:hanging="273"/>
        <w:spacing w:after="0"/>
        <w:tabs>
          <w:tab w:leader="none" w:pos="12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Tenant’s Notice Address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Leased Premises</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Leased Premises</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Attention: Vice President, Places</w:t>
      </w:r>
    </w:p>
    <w:p>
      <w:pPr>
        <w:spacing w:after="0" w:line="203" w:lineRule="exact"/>
        <w:rPr>
          <w:sz w:val="20"/>
          <w:szCs w:val="20"/>
          <w:color w:val="auto"/>
        </w:rPr>
      </w:pPr>
    </w:p>
    <w:p>
      <w:pPr>
        <w:ind w:left="-20" w:right="80" w:firstLine="436"/>
        <w:spacing w:after="0" w:line="262" w:lineRule="auto"/>
        <w:tabs>
          <w:tab w:leader="none" w:pos="6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 of Leased Premises</w:t>
      </w:r>
      <w:r>
        <w:rPr>
          <w:rFonts w:ascii="Times New Roman" w:cs="Times New Roman" w:eastAsia="Times New Roman" w:hAnsi="Times New Roman"/>
          <w:sz w:val="18"/>
          <w:szCs w:val="18"/>
          <w:color w:val="auto"/>
        </w:rPr>
        <w:t>. Without limitation as to Landlord’s maintenance and repair obligations under the Lease, Tenant acknowledges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it is familiar with the condition of the Leased Premises, and (b) subject to construction of the Tenant Improvements and any payment of the “Tenant Improvement Allowance” (as defined in the Work Letter) in accordance with, and subject to, the terms of the Work Letter, Tenant accepts the Leased Premises in its “as-is, where-is and with all faults” condition without improvement or allowance.</w:t>
      </w:r>
    </w:p>
    <w:p>
      <w:pPr>
        <w:spacing w:after="0" w:line="176" w:lineRule="exact"/>
        <w:rPr>
          <w:rFonts w:ascii="Times New Roman" w:cs="Times New Roman" w:eastAsia="Times New Roman" w:hAnsi="Times New Roman"/>
          <w:sz w:val="18"/>
          <w:szCs w:val="18"/>
          <w:b w:val="1"/>
          <w:bCs w:val="1"/>
          <w:color w:val="auto"/>
        </w:rPr>
      </w:pPr>
    </w:p>
    <w:p>
      <w:pPr>
        <w:ind w:left="600" w:hanging="184"/>
        <w:spacing w:after="0"/>
        <w:tabs>
          <w:tab w:leader="none" w:pos="6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Estoppels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20" w:firstLine="987"/>
        <w:spacing w:after="0" w:line="257" w:lineRule="auto"/>
        <w:tabs>
          <w:tab w:leader="none" w:pos="122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Tenant’s Estoppel</w:t>
      </w:r>
      <w:r>
        <w:rPr>
          <w:rFonts w:ascii="Times New Roman" w:cs="Times New Roman" w:eastAsia="Times New Roman" w:hAnsi="Times New Roman"/>
          <w:sz w:val="18"/>
          <w:szCs w:val="18"/>
          <w:color w:val="auto"/>
        </w:rPr>
        <w:t>. Tenant hereby certifies and acknowledges to Landlord that, as of the date of mutual execution of this Sixth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Tenant’s actual knowledge without duty of investigation or inquiry, (i) Landlord is not in default under the Lease; (ii) Tenant does not have any defenses to its obligations under the Lease; (iii) there are no offsets against any Rent; (iv) Landlord is not holding any security instrument (e.g., security deposit, letter of credit or guaranty) in connection with the Lease; and (v) Landlord has completed any improvements and paid any allowances required to be constructed or paid by Landlord in accordance with the terms of the Lease, subject to any payment of the Tenant Improvement Allowance in accordance with, and subject to, the terms of the Work Letter.</w:t>
      </w:r>
    </w:p>
    <w:p>
      <w:pPr>
        <w:spacing w:after="0" w:line="182" w:lineRule="exact"/>
        <w:rPr>
          <w:rFonts w:ascii="Times New Roman" w:cs="Times New Roman" w:eastAsia="Times New Roman" w:hAnsi="Times New Roman"/>
          <w:sz w:val="18"/>
          <w:szCs w:val="18"/>
          <w:b w:val="1"/>
          <w:bCs w:val="1"/>
          <w:color w:val="auto"/>
        </w:rPr>
      </w:pPr>
    </w:p>
    <w:p>
      <w:pPr>
        <w:ind w:left="-20" w:right="40" w:firstLine="987"/>
        <w:spacing w:after="0" w:line="268" w:lineRule="auto"/>
        <w:tabs>
          <w:tab w:leader="none" w:pos="123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Landlord’s Estoppel</w:t>
      </w:r>
      <w:r>
        <w:rPr>
          <w:rFonts w:ascii="Times New Roman" w:cs="Times New Roman" w:eastAsia="Times New Roman" w:hAnsi="Times New Roman"/>
          <w:sz w:val="18"/>
          <w:szCs w:val="18"/>
          <w:color w:val="auto"/>
        </w:rPr>
        <w:t>. Landlord hereby certifies and acknowledges to Tenant that, as of the date of mutual execution of this Sixth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Landlord’s actual knowledge without duty of investigation or inquiry, (i) Tenant is not in default under the Lease; and (ii) Landlord does not have any defenses to its obligations under the Lease.</w:t>
      </w:r>
    </w:p>
    <w:p>
      <w:pPr>
        <w:spacing w:after="0" w:line="170" w:lineRule="exact"/>
        <w:rPr>
          <w:rFonts w:ascii="Times New Roman" w:cs="Times New Roman" w:eastAsia="Times New Roman" w:hAnsi="Times New Roman"/>
          <w:sz w:val="18"/>
          <w:szCs w:val="18"/>
          <w:b w:val="1"/>
          <w:bCs w:val="1"/>
          <w:color w:val="auto"/>
        </w:rPr>
      </w:pPr>
    </w:p>
    <w:p>
      <w:pPr>
        <w:ind w:left="-20" w:right="40" w:firstLine="436"/>
        <w:spacing w:after="0" w:line="254" w:lineRule="auto"/>
        <w:tabs>
          <w:tab w:leader="none" w:pos="6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with respect to CBRE, Inc. (representing Landlord) and Newmark (representing Tenant), the brokers involved in this Sixth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(collectively, the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Landlord and Tenant each hereby represents and warrants to the other that such party making such representation and warranty has not entered into any agreement or had any dealings with any real estate broker, leasing agent, finder, or salesmen, other than the Brokers, that, in any such instance, might result in any obligation on the part of Landlord or Tenant to pay any brokerage commission, finder’s fee or other compensation with respect to this Sixth Amendment, and each agrees to protect, defend, indemnify and hold the other harmless from and against any and all actions, adjudications, awards, causes of action, claims, costs, damages, demands, expenses (including, without limitation, attorneys’ fees and costs and court costs), fees, fines, forfeitures, injuries, judgments, liabilities, liens, losses, obligations, orders, penalties, proceedings, stop notices and suits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in any way arising or resulting from or in connection with or related to any breach or inaccuracy of such representation and warranty made by such party. Any commission payable to the Brokers based on this Sixth Amendment shall be payable by Landlord in accordance with, and subject to, the terms of a separate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66" w:right="459" w:bottom="1440" w:gutter="0" w:footer="0" w:header="0"/>
        </w:sectPr>
      </w:pPr>
    </w:p>
    <w:bookmarkStart w:id="22" w:name="page23"/>
    <w:bookmarkEnd w:id="22"/>
    <w:p>
      <w:pPr>
        <w:ind w:right="20" w:firstLine="436"/>
        <w:spacing w:after="0" w:line="253" w:lineRule="auto"/>
        <w:tabs>
          <w:tab w:leader="none" w:pos="6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Landlord’s Exculpation; CBRE Investment Management as Signatory</w:t>
      </w:r>
      <w:r>
        <w:rPr>
          <w:rFonts w:ascii="Times New Roman" w:cs="Times New Roman" w:eastAsia="Times New Roman" w:hAnsi="Times New Roman"/>
          <w:sz w:val="18"/>
          <w:szCs w:val="18"/>
          <w:color w:val="auto"/>
        </w:rPr>
        <w:t>. This Sixth Amendment is being executed by CBRE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LLC, a Delaware limited liability company (“</w:t>
      </w:r>
      <w:r>
        <w:rPr>
          <w:rFonts w:ascii="Times New Roman" w:cs="Times New Roman" w:eastAsia="Times New Roman" w:hAnsi="Times New Roman"/>
          <w:sz w:val="18"/>
          <w:szCs w:val="18"/>
          <w:u w:val="single" w:color="auto"/>
          <w:color w:val="auto"/>
        </w:rPr>
        <w:t>CBRE Investment Management</w:t>
      </w:r>
      <w:r>
        <w:rPr>
          <w:rFonts w:ascii="Times New Roman" w:cs="Times New Roman" w:eastAsia="Times New Roman" w:hAnsi="Times New Roman"/>
          <w:sz w:val="18"/>
          <w:szCs w:val="18"/>
          <w:color w:val="auto"/>
        </w:rPr>
        <w:t>”), as manager for Landlord, and Landlord certifies to Tenant that CBRE Investment Management is properly and duly authorized to so bind Landlord. No present or future officer, director, employee, trustee, partner, member, manager, retirant, beneficiary, internal investment contractor, investment manager or agent of Landlord shall have any personal liability, directly or indirectly, and recourse shall not be had against any such officer, director, employee, trustee, partner, member, manager, retirant, beneficiary, internal investment contractor, investment manager or agent under or in connection with the Lease or any other document or instrument heretofore or hereafter executed in connection with the Lease. Tenant hereby waives and releases any and all such personal liability and recourse; however, such waiver and release shall not restrict Tenant’s right to seek recourse against Landlord itself in accordance with, and subject to, the terms of the Lease. The limitations of liability provided in this Section are in addition to, and not in limitation of, any limitation on liability applicable to Landlord provided by Law. Tenant further acknowledges that CBRE Investment Management has entered into this Sixth Amendment as manager to Landlord, and Tenant agrees that all persons dealing with CBRE Investment Management must look solely to Landlord for the enforcement of any Claims arising under the Lease (subject to the limitations upon Landlord’s liability set forth above and in the Lease), as neither CBRE Investment Management nor any of its affiliated entities (including, but not limited to, CBRE, Inc. and CBRE Services, Inc.) nor any of their respective officers, directors, agents, managers, trustees, employees, members, investment managers, partners or shareholders assume any personal, corporate, partnership, limited liability company, or other liability for any of the obligations entered into by CBRE Investment Management as manager for Landlord.</w:t>
      </w:r>
    </w:p>
    <w:p>
      <w:pPr>
        <w:spacing w:after="0" w:line="183" w:lineRule="exact"/>
        <w:rPr>
          <w:rFonts w:ascii="Times New Roman" w:cs="Times New Roman" w:eastAsia="Times New Roman" w:hAnsi="Times New Roman"/>
          <w:sz w:val="18"/>
          <w:szCs w:val="18"/>
          <w:b w:val="1"/>
          <w:bCs w:val="1"/>
          <w:color w:val="auto"/>
        </w:rPr>
      </w:pPr>
    </w:p>
    <w:p>
      <w:pPr>
        <w:ind w:firstLine="436"/>
        <w:spacing w:after="0" w:line="259" w:lineRule="auto"/>
        <w:tabs>
          <w:tab w:leader="none" w:pos="71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California Accessibility Disclosure</w:t>
      </w:r>
      <w:r>
        <w:rPr>
          <w:rFonts w:ascii="Times New Roman" w:cs="Times New Roman" w:eastAsia="Times New Roman" w:hAnsi="Times New Roman"/>
          <w:sz w:val="18"/>
          <w:szCs w:val="18"/>
          <w:color w:val="auto"/>
        </w:rPr>
        <w:t>. Pursuant to California Civil Code Section 1938(a), Landlord hereby discloses to Tenant that,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mutual execution of this Sixth Amendment, the Leased Premises and the Property have not undergone inspection by a Certified Access Specialist (“</w:t>
      </w:r>
      <w:r>
        <w:rPr>
          <w:rFonts w:ascii="Times New Roman" w:cs="Times New Roman" w:eastAsia="Times New Roman" w:hAnsi="Times New Roman"/>
          <w:sz w:val="18"/>
          <w:szCs w:val="18"/>
          <w:u w:val="single" w:color="auto"/>
          <w:color w:val="auto"/>
        </w:rPr>
        <w:t>CASp</w:t>
      </w:r>
      <w:r>
        <w:rPr>
          <w:rFonts w:ascii="Times New Roman" w:cs="Times New Roman" w:eastAsia="Times New Roman" w:hAnsi="Times New Roman"/>
          <w:sz w:val="18"/>
          <w:szCs w:val="18"/>
          <w:color w:val="auto"/>
        </w:rPr>
        <w:t>”). As a result, Landlord hereby provides the following notice (the “</w:t>
      </w:r>
      <w:r>
        <w:rPr>
          <w:rFonts w:ascii="Times New Roman" w:cs="Times New Roman" w:eastAsia="Times New Roman" w:hAnsi="Times New Roman"/>
          <w:sz w:val="18"/>
          <w:szCs w:val="18"/>
          <w:u w:val="single" w:color="auto"/>
          <w:color w:val="auto"/>
        </w:rPr>
        <w:t>CASp Notice</w:t>
      </w:r>
      <w:r>
        <w:rPr>
          <w:rFonts w:ascii="Times New Roman" w:cs="Times New Roman" w:eastAsia="Times New Roman" w:hAnsi="Times New Roman"/>
          <w:sz w:val="18"/>
          <w:szCs w:val="18"/>
          <w:color w:val="auto"/>
        </w:rPr>
        <w:t>”) to Tenant as required by California Civil Code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1938(e):</w:t>
      </w:r>
    </w:p>
    <w:p>
      <w:pPr>
        <w:spacing w:after="0" w:line="9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3" w:lineRule="exact"/>
        <w:rPr>
          <w:sz w:val="20"/>
          <w:szCs w:val="20"/>
          <w:color w:val="auto"/>
        </w:rPr>
      </w:pPr>
    </w:p>
    <w:p>
      <w:pPr>
        <w:ind w:right="40" w:firstLine="436"/>
        <w:spacing w:after="0" w:line="262" w:lineRule="auto"/>
        <w:tabs>
          <w:tab w:leader="none" w:pos="7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Landlord is the successor in interest to Original Landlord and First Successor Landlord under the Lease. Landlord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ratify and confirm their respective rights and obligations under the Lease. Except as specifically herein amended, the Lease is and shall remain in full force and effect according to the terms thereof (for the avoidance of doubt, the parties specifically acknowledge and agree that Sections 16.1, 16.2, 16.3, 16.5, 16.6 and 16.8 of the Original Lease shall be deemed expired, deleted and of no force or effect). In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23" w:name="page24"/>
    <w:bookmarkEnd w:id="2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 of any conflict between the terms of the Lease and the terms of this Sixth Amendment, the terms of this Sixth Amendment shall control. The headings to sections of this Sixth Amendment are for convenient reference only and shall not be used in interpreting this Sixth Amendment. This Sixth Amendment may be executed in counterparts, each of which shall be deemed an original, but all of which together shall constitute one and the same agreement. Delivery of an electronically executed signature page hereof by electronic transmission (including, without limitation, via emailed .pdf or DocuSign) shall specifically be deemed as effective as delivery of a manually executed signature page hereof. At Tenant’s request, Landlord shall execute a First Amendment to Memorandum of Lease with respect to this Sixth Amendment in a form reasonably satisfactory to Landlord and Tenant, and shall cause the same to be recorded in the Official Records of Santa Clara County, California, which First Amendment to Memorandum of Lease shall be recorded against the entire Project and shall include the rights described in Section 3 of this Sixth Amendment.</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440" w:top="270" w:right="599" w:bottom="1440" w:gutter="0" w:footer="0" w:header="0"/>
        </w:sectPr>
      </w:pPr>
    </w:p>
    <w:bookmarkStart w:id="24" w:name="page25"/>
    <w:bookmarkEnd w:id="2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Landlord and Tenant have caused their duly authorized representatives to execute this Sixth Amendment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SANTA CLARA PHASE III EFH,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Santa Clara EFH LLC, a Delaware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limited liability company, its sole Member</w:t>
      </w:r>
    </w:p>
    <w:p>
      <w:pPr>
        <w:spacing w:after="0" w:line="207"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8"/>
          <w:szCs w:val="18"/>
          <w:color w:val="auto"/>
        </w:rPr>
        <w:t>By:</w:t>
        <w:tab/>
        <w:t>Santa Clara EFH REIT LLC, a Delaware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limited liability company, its sole Member</w:t>
      </w:r>
    </w:p>
    <w:p>
      <w:pPr>
        <w:spacing w:after="0" w:line="207"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18"/>
          <w:szCs w:val="18"/>
          <w:color w:val="auto"/>
        </w:rPr>
        <w:t>By:</w:t>
        <w:tab/>
        <w:t>Santa Clara Phase III REIT LLC, a Delaware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limited liability company, its Manager</w:t>
      </w:r>
    </w:p>
    <w:p>
      <w:pPr>
        <w:spacing w:after="0" w:line="207" w:lineRule="exact"/>
        <w:rPr>
          <w:sz w:val="20"/>
          <w:szCs w:val="20"/>
          <w:color w:val="auto"/>
        </w:rPr>
      </w:pPr>
    </w:p>
    <w:p>
      <w:pPr>
        <w:ind w:left="1360"/>
        <w:spacing w:after="0"/>
        <w:tabs>
          <w:tab w:leader="none" w:pos="1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Tannery Way Partners, LLC, a Delaware</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limited liability company, its Manager</w:t>
      </w:r>
    </w:p>
    <w:p>
      <w:pPr>
        <w:spacing w:after="0" w:line="207" w:lineRule="exact"/>
        <w:rPr>
          <w:sz w:val="20"/>
          <w:szCs w:val="20"/>
          <w:color w:val="auto"/>
        </w:rPr>
      </w:pPr>
    </w:p>
    <w:p>
      <w:pPr>
        <w:ind w:left="1800"/>
        <w:spacing w:after="0"/>
        <w:tabs>
          <w:tab w:leader="none" w:pos="2200" w:val="left"/>
        </w:tabs>
        <w:rPr>
          <w:sz w:val="20"/>
          <w:szCs w:val="20"/>
          <w:color w:val="auto"/>
        </w:rPr>
      </w:pPr>
      <w:r>
        <w:rPr>
          <w:rFonts w:ascii="Times New Roman" w:cs="Times New Roman" w:eastAsia="Times New Roman" w:hAnsi="Times New Roman"/>
          <w:sz w:val="18"/>
          <w:szCs w:val="18"/>
          <w:color w:val="auto"/>
        </w:rPr>
        <w:t>By:</w:t>
        <w:tab/>
        <w:t>CBRE Investment Management, LLC, a Delaware</w:t>
      </w:r>
    </w:p>
    <w:p>
      <w:pPr>
        <w:spacing w:after="0" w:line="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limited liability company, its Manager</w:t>
      </w:r>
    </w:p>
    <w:p>
      <w:pPr>
        <w:spacing w:after="0" w:line="207" w:lineRule="exact"/>
        <w:rPr>
          <w:sz w:val="20"/>
          <w:szCs w:val="20"/>
          <w:color w:val="auto"/>
        </w:rPr>
      </w:pPr>
    </w:p>
    <w:p>
      <w:pPr>
        <w:ind w:left="2220"/>
        <w:spacing w:after="0"/>
        <w:tabs>
          <w:tab w:leader="none" w:pos="2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Xi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17145</wp:posOffset>
            </wp:positionV>
            <wp:extent cx="26574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Nikesh Arora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Nikesh Arora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0760"/>
      </w:cols>
      <w:pgMar w:left="440" w:top="266"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lvl w:ilvl="1">
      <w:lvlJc w:val="left"/>
      <w:lvlText w:val="(%2)"/>
      <w:numFmt w:val="lowerLetter"/>
      <w:start w:val="1"/>
    </w:lvl>
  </w:abstractNum>
  <w:abstractNum w:abstractNumId="2">
    <w:nsid w:val="1BEFD79F"/>
    <w:multiLevelType w:val="hybridMultilevel"/>
    <w:lvl w:ilvl="0">
      <w:lvlJc w:val="left"/>
      <w:lvlText w:val="%1."/>
      <w:numFmt w:val="decimal"/>
      <w:start w:val="3"/>
    </w:lvl>
    <w:lvl w:ilvl="1">
      <w:lvlJc w:val="left"/>
      <w:lvlText w:val="(%2)"/>
      <w:numFmt w:val="lowerLetter"/>
      <w:start w:val="1"/>
    </w:lvl>
  </w:abstractNum>
  <w:abstractNum w:abstractNumId="3">
    <w:nsid w:val="41A7C4C9"/>
    <w:multiLevelType w:val="hybridMultilevel"/>
    <w:lvl w:ilvl="0">
      <w:lvlJc w:val="left"/>
      <w:lvlText w:val="%1"/>
      <w:numFmt w:val="decimal"/>
      <w:start w:val="1"/>
    </w:lvl>
    <w:lvl w:ilvl="1">
      <w:lvlJc w:val="left"/>
      <w:lvlText w:val="(%2)"/>
      <w:numFmt w:val="lowerLetter"/>
      <w:start w:val="8"/>
    </w:lvl>
  </w:abstractNum>
  <w:abstractNum w:abstractNumId="4">
    <w:nsid w:val="6B68079A"/>
    <w:multiLevelType w:val="hybridMultilevel"/>
    <w:lvl w:ilvl="0">
      <w:lvlJc w:val="left"/>
      <w:lvlText w:val="%1."/>
      <w:numFmt w:val="decimal"/>
      <w:start w:val="4"/>
    </w:lvl>
    <w:lvl w:ilvl="1">
      <w:lvlJc w:val="left"/>
      <w:lvlText w:val="(%2)"/>
      <w:numFmt w:val="lowerLetter"/>
      <w:start w:val="1"/>
    </w:lvl>
  </w:abstractNum>
  <w:abstractNum w:abstractNumId="5">
    <w:nsid w:val="4E6AFB66"/>
    <w:multiLevelType w:val="hybridMultilevel"/>
    <w:lvl w:ilvl="0">
      <w:lvlJc w:val="left"/>
      <w:lvlText w:val="(%1)"/>
      <w:numFmt w:val="lowerLetter"/>
      <w:start w:val="2"/>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lvl w:ilvl="1">
      <w:lvlJc w:val="left"/>
      <w:lvlText w:val="(%2)"/>
      <w:numFmt w:val="lowerLetter"/>
      <w:start w:val="1"/>
    </w:lvl>
  </w:abstractNum>
  <w:abstractNum w:abstractNumId="8">
    <w:nsid w:val="431BD7B7"/>
    <w:multiLevelType w:val="hybridMultilevel"/>
    <w:lvl w:ilvl="0">
      <w:lvlJc w:val="left"/>
      <w:lvlText w:val="%1."/>
      <w:numFmt w:val="decimal"/>
      <w:start w:val="9"/>
    </w:lvl>
  </w:abstractNum>
  <w:abstractNum w:abstractNumId="9">
    <w:nsid w:val="3F2DBA31"/>
    <w:multiLevelType w:val="hybridMultilevel"/>
    <w:lvl w:ilvl="0">
      <w:lvlJc w:val="left"/>
      <w:lvlText w:val="%1."/>
      <w:numFmt w:val="decimal"/>
      <w:start w:val="10"/>
    </w:lvl>
  </w:abstractNum>
  <w:abstractNum w:abstractNumId="10">
    <w:nsid w:val="7C83E458"/>
    <w:multiLevelType w:val="hybridMultilevel"/>
    <w:lvl w:ilvl="0">
      <w:lvlJc w:val="left"/>
      <w:lvlText w:val="%1."/>
      <w:numFmt w:val="decimal"/>
      <w:start w:val="1"/>
    </w:lvl>
    <w:lvl w:ilvl="1">
      <w:lvlJc w:val="left"/>
      <w:lvlText w:val="(%2)"/>
      <w:numFmt w:val="lowerLetter"/>
      <w:start w:val="1"/>
    </w:lvl>
  </w:abstractNum>
  <w:abstractNum w:abstractNumId="11">
    <w:nsid w:val="257130A3"/>
    <w:multiLevelType w:val="hybridMultilevel"/>
    <w:lvl w:ilvl="0">
      <w:lvlJc w:val="left"/>
      <w:lvlText w:val="%1."/>
      <w:numFmt w:val="decimal"/>
      <w:start w:val="3"/>
    </w:lvl>
    <w:lvl w:ilvl="1">
      <w:lvlJc w:val="left"/>
      <w:lvlText w:val="(%2)"/>
      <w:numFmt w:val="lowerLetter"/>
      <w:start w:val="1"/>
    </w:lvl>
  </w:abstractNum>
  <w:abstractNum w:abstractNumId="12">
    <w:nsid w:val="62BBD95A"/>
    <w:multiLevelType w:val="hybridMultilevel"/>
    <w:lvl w:ilvl="0">
      <w:lvlJc w:val="left"/>
      <w:lvlText w:val="%1"/>
      <w:numFmt w:val="decimal"/>
      <w:start w:val="1"/>
    </w:lvl>
    <w:lvl w:ilvl="1">
      <w:lvlJc w:val="left"/>
      <w:lvlText w:val="(%2)"/>
      <w:numFmt w:val="lowerLetter"/>
      <w:start w:val="8"/>
    </w:lvl>
  </w:abstractNum>
  <w:abstractNum w:abstractNumId="13">
    <w:nsid w:val="436C6125"/>
    <w:multiLevelType w:val="hybridMultilevel"/>
    <w:lvl w:ilvl="0">
      <w:lvlJc w:val="left"/>
      <w:lvlText w:val="%1."/>
      <w:numFmt w:val="decimal"/>
      <w:start w:val="4"/>
    </w:lvl>
    <w:lvl w:ilvl="1">
      <w:lvlJc w:val="left"/>
      <w:lvlText w:val="(%2)"/>
      <w:numFmt w:val="lowerLetter"/>
      <w:start w:val="1"/>
    </w:lvl>
  </w:abstractNum>
  <w:abstractNum w:abstractNumId="14">
    <w:nsid w:val="628C895D"/>
    <w:multiLevelType w:val="hybridMultilevel"/>
    <w:lvl w:ilvl="0">
      <w:lvlJc w:val="left"/>
      <w:lvlText w:val="(%1)"/>
      <w:numFmt w:val="lowerLetter"/>
      <w:start w:val="2"/>
    </w:lvl>
  </w:abstractNum>
  <w:abstractNum w:abstractNumId="15">
    <w:nsid w:val="333AB105"/>
    <w:multiLevelType w:val="hybridMultilevel"/>
    <w:lvl w:ilvl="0">
      <w:lvlJc w:val="left"/>
      <w:lvlText w:val="%1."/>
      <w:numFmt w:val="decimal"/>
      <w:start w:val="5"/>
    </w:lvl>
  </w:abstractNum>
  <w:abstractNum w:abstractNumId="16">
    <w:nsid w:val="721DA317"/>
    <w:multiLevelType w:val="hybridMultilevel"/>
    <w:lvl w:ilvl="0">
      <w:lvlJc w:val="left"/>
      <w:lvlText w:val="%1."/>
      <w:numFmt w:val="decimal"/>
      <w:start w:val="6"/>
    </w:lvl>
    <w:lvl w:ilvl="1">
      <w:lvlJc w:val="left"/>
      <w:lvlText w:val="(%2)"/>
      <w:numFmt w:val="lowerLetter"/>
      <w:start w:val="1"/>
    </w:lvl>
  </w:abstractNum>
  <w:abstractNum w:abstractNumId="17">
    <w:nsid w:val="2443A858"/>
    <w:multiLevelType w:val="hybridMultilevel"/>
    <w:lvl w:ilvl="0">
      <w:lvlJc w:val="left"/>
      <w:lvlText w:val="%1."/>
      <w:numFmt w:val="decimal"/>
      <w:start w:val="9"/>
    </w:lvl>
  </w:abstractNum>
  <w:abstractNum w:abstractNumId="18">
    <w:nsid w:val="2D1D5AE9"/>
    <w:multiLevelType w:val="hybridMultilevel"/>
    <w:lvl w:ilvl="0">
      <w:lvlJc w:val="left"/>
      <w:lvlText w:val="%1."/>
      <w:numFmt w:val="decimal"/>
      <w:start w:val="10"/>
    </w:lvl>
  </w:abstractNum>
  <w:abstractNum w:abstractNumId="19">
    <w:nsid w:val="6763845E"/>
    <w:multiLevelType w:val="hybridMultilevel"/>
    <w:lvl w:ilvl="0">
      <w:lvlJc w:val="left"/>
      <w:lvlText w:val="%1."/>
      <w:numFmt w:val="decimal"/>
      <w:start w:val="1"/>
    </w:lvl>
    <w:lvl w:ilvl="1">
      <w:lvlJc w:val="left"/>
      <w:lvlText w:val="(%2)"/>
      <w:numFmt w:val="lowerLetter"/>
      <w:start w:val="1"/>
    </w:lvl>
  </w:abstractNum>
  <w:abstractNum w:abstractNumId="20">
    <w:nsid w:val="75A2A8D4"/>
    <w:multiLevelType w:val="hybridMultilevel"/>
    <w:lvl w:ilvl="0">
      <w:lvlJc w:val="left"/>
      <w:lvlText w:val="%1."/>
      <w:numFmt w:val="decimal"/>
      <w:start w:val="3"/>
    </w:lvl>
    <w:lvl w:ilvl="1">
      <w:lvlJc w:val="left"/>
      <w:lvlText w:val="(%2)"/>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Letter"/>
      <w:start w:val="4"/>
    </w:lvl>
  </w:abstractNum>
  <w:abstractNum w:abstractNumId="22">
    <w:nsid w:val="79838CB2"/>
    <w:multiLevelType w:val="hybridMultilevel"/>
    <w:lvl w:ilvl="0">
      <w:lvlJc w:val="left"/>
      <w:lvlText w:val="%1."/>
      <w:numFmt w:val="decimal"/>
      <w:start w:val="5"/>
    </w:lvl>
    <w:lvl w:ilvl="1">
      <w:lvlJc w:val="left"/>
      <w:lvlText w:val="(%2)"/>
      <w:numFmt w:val="lowerLetter"/>
      <w:start w:val="1"/>
    </w:lvl>
  </w:abstractNum>
  <w:abstractNum w:abstractNumId="23">
    <w:nsid w:val="4353D0CD"/>
    <w:multiLevelType w:val="hybridMultilevel"/>
    <w:lvl w:ilvl="0">
      <w:lvlJc w:val="left"/>
      <w:lvlText w:val="(%1)"/>
      <w:numFmt w:val="lowerLetter"/>
      <w:start w:val="2"/>
    </w:lvl>
  </w:abstractNum>
  <w:abstractNum w:abstractNumId="24">
    <w:nsid w:val="B03E0C6"/>
    <w:multiLevelType w:val="hybridMultilevel"/>
    <w:lvl w:ilvl="0">
      <w:lvlJc w:val="left"/>
      <w:lvlText w:val="%1."/>
      <w:numFmt w:val="decimal"/>
      <w:start w:val="6"/>
    </w:lvl>
    <w:lvl w:ilvl="1">
      <w:lvlJc w:val="left"/>
      <w:lvlText w:val="(%2)"/>
      <w:numFmt w:val="lowerLetter"/>
      <w:start w:val="1"/>
    </w:lvl>
  </w:abstractNum>
  <w:abstractNum w:abstractNumId="25">
    <w:nsid w:val="189A769B"/>
    <w:multiLevelType w:val="hybridMultilevel"/>
    <w:lvl w:ilvl="0">
      <w:lvlJc w:val="left"/>
      <w:lvlText w:val="%1."/>
      <w:numFmt w:val="decimal"/>
      <w:start w:val="9"/>
    </w:lvl>
  </w:abstractNum>
  <w:abstractNum w:abstractNumId="26">
    <w:nsid w:val="54E49EB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2026-04-13T05:14:21Z</dcterms:created>
  <dcterms:modified xsi:type="dcterms:W3CDTF">2026-04-13T05:14:21Z</dcterms:modified>
</cp:coreProperties>
</file>