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05" w:lineRule="exact"/>
        <w:rPr>
          <w:sz w:val="24"/>
          <w:szCs w:val="24"/>
          <w:color w:val="auto"/>
        </w:rPr>
      </w:pPr>
    </w:p>
    <w:p>
      <w:pPr>
        <w:jc w:val="center"/>
        <w:ind w:left="460"/>
        <w:spacing w:after="0" w:line="248"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RULES 13d-1 (b), (c) AND (d) AND AMENDMENTS THERETO FILED PURSUANT TO 13d-2 (b)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382905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PALO ALTO NETWORKS, INC.</w:t>
      </w:r>
    </w:p>
    <w:p>
      <w:pPr>
        <w:spacing w:after="0" w:line="6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1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9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697435105</w:t>
      </w:r>
    </w:p>
    <w:p>
      <w:pPr>
        <w:spacing w:after="0" w:line="2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9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12/31/12</w:t>
      </w:r>
    </w:p>
    <w:p>
      <w:pPr>
        <w:spacing w:after="0" w:line="2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7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1 of 15 Pages</w:t>
      </w:r>
    </w:p>
    <w:p>
      <w:pPr>
        <w:sectPr>
          <w:pgSz w:w="11900" w:h="16838" w:orient="portrait"/>
          <w:cols w:equalWidth="0" w:num="1">
            <w:col w:w="11200"/>
          </w:cols>
          <w:pgMar w:left="240" w:top="416"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6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CUSIP NO. 697435105</w:t>
            </w:r>
          </w:p>
        </w:tc>
        <w:tc>
          <w:tcPr>
            <w:tcW w:w="602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13 G</w:t>
            </w:r>
          </w:p>
        </w:tc>
        <w:tc>
          <w:tcPr>
            <w:tcW w:w="374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6"/>
              </w:rPr>
              <w:t>Page 2 of 15 Pages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60" w:type="dxa"/>
            <w:vAlign w:val="bottom"/>
            <w:tcBorders>
              <w:bottom w:val="single" w:sz="8" w:color="auto"/>
            </w:tcBorders>
            <w:gridSpan w:val="5"/>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SEQUOIA CAPITAL XI, L.P. (“SC XI”)</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54-2094242</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tcBorders>
              <w:right w:val="single" w:sz="8" w:color="auto"/>
            </w:tcBorders>
          </w:tcPr>
          <w:p>
            <w:pPr>
              <w:spacing w:after="0"/>
              <w:rPr>
                <w:sz w:val="14"/>
                <w:szCs w:val="14"/>
                <w:color w:val="auto"/>
              </w:rPr>
            </w:pPr>
          </w:p>
        </w:tc>
        <w:tc>
          <w:tcPr>
            <w:tcW w:w="4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right w:val="single" w:sz="8" w:color="auto"/>
            </w:tcBorders>
          </w:tcPr>
          <w:p>
            <w:pPr>
              <w:spacing w:after="0"/>
              <w:rPr>
                <w:sz w:val="14"/>
                <w:szCs w:val="14"/>
                <w:color w:val="auto"/>
              </w:rPr>
            </w:pPr>
          </w:p>
        </w:tc>
        <w:tc>
          <w:tcPr>
            <w:tcW w:w="7060" w:type="dxa"/>
            <w:vAlign w:val="bottom"/>
            <w:gridSpan w:val="5"/>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30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37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vMerge w:val="restart"/>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060" w:type="dxa"/>
            <w:vAlign w:val="bottom"/>
            <w:tcBorders>
              <w:bottom w:val="single" w:sz="8" w:color="auto"/>
            </w:tcBorders>
            <w:gridSpan w:val="5"/>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vMerge w:val="restart"/>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7060" w:type="dxa"/>
            <w:vAlign w:val="bottom"/>
            <w:tcBorders>
              <w:bottom w:val="single" w:sz="8" w:color="auto"/>
            </w:tcBorders>
            <w:gridSpan w:val="5"/>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4"/>
              </w:rPr>
              <w:t>BENEFICIALLY</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10,617,630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vMerge w:val="continue"/>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Borders>
              <w:right w:val="single" w:sz="8" w:color="auto"/>
            </w:tcBorders>
            <w:gridSpan w:val="2"/>
          </w:tcPr>
          <w:p>
            <w:pPr>
              <w:jc w:val="center"/>
              <w:ind w:right="265"/>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40" w:type="dxa"/>
            <w:vAlign w:val="bottom"/>
          </w:tcPr>
          <w:p>
            <w:pPr>
              <w:spacing w:after="0"/>
              <w:rPr>
                <w:sz w:val="15"/>
                <w:szCs w:val="15"/>
                <w:color w:val="auto"/>
              </w:rPr>
            </w:pPr>
          </w:p>
        </w:tc>
        <w:tc>
          <w:tcPr>
            <w:tcW w:w="200" w:type="dxa"/>
            <w:vAlign w:val="bottom"/>
            <w:tcBorders>
              <w:right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602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vMerge w:val="continue"/>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40" w:type="dxa"/>
            <w:vAlign w:val="bottom"/>
            <w:tcBorders>
              <w:right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Borders>
              <w:right w:val="single" w:sz="8" w:color="auto"/>
            </w:tcBorders>
            <w:gridSpan w:val="2"/>
            <w:vMerge w:val="restart"/>
          </w:tcPr>
          <w:p>
            <w:pPr>
              <w:jc w:val="center"/>
              <w:ind w:right="285"/>
              <w:spacing w:after="0"/>
              <w:rPr>
                <w:sz w:val="20"/>
                <w:szCs w:val="20"/>
                <w:color w:val="auto"/>
              </w:rPr>
            </w:pPr>
            <w:r>
              <w:rPr>
                <w:rFonts w:ascii="Times New Roman" w:cs="Times New Roman" w:eastAsia="Times New Roman" w:hAnsi="Times New Roman"/>
                <w:sz w:val="18"/>
                <w:szCs w:val="18"/>
                <w:color w:val="auto"/>
                <w:w w:val="97"/>
              </w:rPr>
              <w:t>WITH</w:t>
            </w: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20" w:type="dxa"/>
            <w:vAlign w:val="bottom"/>
            <w:tcBorders>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10,617,630</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right w:val="single" w:sz="8" w:color="auto"/>
            </w:tcBorders>
          </w:tcPr>
          <w:p>
            <w:pPr>
              <w:spacing w:after="0"/>
              <w:rPr>
                <w:sz w:val="19"/>
                <w:szCs w:val="19"/>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4"/>
              </w:rPr>
              <w:t>AGGREGATE</w:t>
            </w: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10,617,630</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right w:val="single" w:sz="8" w:color="auto"/>
            </w:tcBorders>
          </w:tcPr>
          <w:p>
            <w:pPr>
              <w:spacing w:after="0"/>
              <w:rPr>
                <w:sz w:val="23"/>
                <w:szCs w:val="23"/>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7"/>
              </w:rPr>
              <w:t>CHECK BOX IF THE AGGREGATE AMOUNT IN ROW (9) EXCLUDES CERTAIN SHARES</w:t>
            </w:r>
          </w:p>
        </w:tc>
        <w:tc>
          <w:tcPr>
            <w:tcW w:w="374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vMerge w:val="restart"/>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6100" w:type="dxa"/>
            <w:vAlign w:val="bottom"/>
            <w:tcBorders>
              <w:bottom w:val="single" w:sz="8" w:color="auto"/>
            </w:tcBorders>
            <w:gridSpan w:val="2"/>
          </w:tcPr>
          <w:p>
            <w:pPr>
              <w:spacing w:after="0"/>
              <w:rPr>
                <w:sz w:val="13"/>
                <w:szCs w:val="13"/>
                <w:color w:val="auto"/>
              </w:rPr>
            </w:pPr>
          </w:p>
        </w:tc>
        <w:tc>
          <w:tcPr>
            <w:tcW w:w="3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15.5%</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422"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28"/>
        </w:trPr>
        <w:tc>
          <w:tcPr>
            <w:tcW w:w="16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CUSIP NO. 697435105</w:t>
            </w:r>
          </w:p>
        </w:tc>
        <w:tc>
          <w:tcPr>
            <w:tcW w:w="602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13 G</w:t>
            </w:r>
          </w:p>
        </w:tc>
        <w:tc>
          <w:tcPr>
            <w:tcW w:w="374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6"/>
              </w:rPr>
              <w:t>Page 3 of 15 Pages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60" w:type="dxa"/>
            <w:vAlign w:val="bottom"/>
            <w:tcBorders>
              <w:bottom w:val="single" w:sz="8" w:color="auto"/>
            </w:tcBorders>
            <w:gridSpan w:val="5"/>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SEQUOIA TECHNOLOGY PARTNERS XI, L.P. (“STP XI”)</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20-0005558</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tcBorders>
              <w:right w:val="single" w:sz="8" w:color="auto"/>
            </w:tcBorders>
          </w:tcPr>
          <w:p>
            <w:pPr>
              <w:spacing w:after="0"/>
              <w:rPr>
                <w:sz w:val="14"/>
                <w:szCs w:val="14"/>
                <w:color w:val="auto"/>
              </w:rPr>
            </w:pPr>
          </w:p>
        </w:tc>
        <w:tc>
          <w:tcPr>
            <w:tcW w:w="4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right w:val="single" w:sz="8" w:color="auto"/>
            </w:tcBorders>
          </w:tcPr>
          <w:p>
            <w:pPr>
              <w:spacing w:after="0"/>
              <w:rPr>
                <w:sz w:val="14"/>
                <w:szCs w:val="14"/>
                <w:color w:val="auto"/>
              </w:rPr>
            </w:pPr>
          </w:p>
        </w:tc>
        <w:tc>
          <w:tcPr>
            <w:tcW w:w="7060" w:type="dxa"/>
            <w:vAlign w:val="bottom"/>
            <w:gridSpan w:val="5"/>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26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37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vMerge w:val="restart"/>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060" w:type="dxa"/>
            <w:vAlign w:val="bottom"/>
            <w:tcBorders>
              <w:bottom w:val="single" w:sz="8" w:color="auto"/>
            </w:tcBorders>
            <w:gridSpan w:val="5"/>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vMerge w:val="restart"/>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7060" w:type="dxa"/>
            <w:vAlign w:val="bottom"/>
            <w:tcBorders>
              <w:bottom w:val="single" w:sz="8" w:color="auto"/>
            </w:tcBorders>
            <w:gridSpan w:val="5"/>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5</w:t>
            </w:r>
          </w:p>
        </w:tc>
        <w:tc>
          <w:tcPr>
            <w:tcW w:w="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Pr>
          <w:p>
            <w:pPr>
              <w:spacing w:after="0"/>
              <w:rPr>
                <w:sz w:val="19"/>
                <w:szCs w:val="19"/>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6</w:t>
            </w:r>
          </w:p>
        </w:tc>
        <w:tc>
          <w:tcPr>
            <w:tcW w:w="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4"/>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335,396</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vMerge w:val="continue"/>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Borders>
              <w:right w:val="single" w:sz="8" w:color="auto"/>
            </w:tcBorders>
            <w:gridSpan w:val="2"/>
          </w:tcPr>
          <w:p>
            <w:pPr>
              <w:jc w:val="center"/>
              <w:ind w:right="265"/>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7</w:t>
            </w:r>
          </w:p>
        </w:tc>
        <w:tc>
          <w:tcPr>
            <w:tcW w:w="80" w:type="dxa"/>
            <w:vAlign w:val="bottom"/>
          </w:tcPr>
          <w:p>
            <w:pPr>
              <w:spacing w:after="0"/>
              <w:rPr>
                <w:sz w:val="15"/>
                <w:szCs w:val="15"/>
                <w:color w:val="auto"/>
              </w:rPr>
            </w:pPr>
          </w:p>
        </w:tc>
        <w:tc>
          <w:tcPr>
            <w:tcW w:w="602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vMerge w:val="continue"/>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40" w:type="dxa"/>
            <w:vAlign w:val="bottom"/>
            <w:tcBorders>
              <w:right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Borders>
              <w:right w:val="single" w:sz="8" w:color="auto"/>
            </w:tcBorders>
            <w:gridSpan w:val="2"/>
            <w:vMerge w:val="restart"/>
          </w:tcPr>
          <w:p>
            <w:pPr>
              <w:jc w:val="center"/>
              <w:ind w:right="285"/>
              <w:spacing w:after="0"/>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20" w:type="dxa"/>
            <w:vAlign w:val="bottom"/>
            <w:tcBorders>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8</w:t>
            </w:r>
          </w:p>
        </w:tc>
        <w:tc>
          <w:tcPr>
            <w:tcW w:w="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335,396</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right w:val="single" w:sz="8" w:color="auto"/>
            </w:tcBorders>
          </w:tcPr>
          <w:p>
            <w:pPr>
              <w:spacing w:after="0"/>
              <w:rPr>
                <w:sz w:val="19"/>
                <w:szCs w:val="19"/>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4"/>
              </w:rPr>
              <w:t>AGGREGATE</w:t>
            </w: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5"/>
              </w:rPr>
              <w:t>335,396</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right w:val="single" w:sz="8" w:color="auto"/>
            </w:tcBorders>
          </w:tcPr>
          <w:p>
            <w:pPr>
              <w:spacing w:after="0"/>
              <w:rPr>
                <w:sz w:val="23"/>
                <w:szCs w:val="23"/>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7"/>
              </w:rPr>
              <w:t>CHECK BOX IF THE AGGREGATE AMOUNT IN ROW (9) EXCLUDES CERTAIN SHARES</w:t>
            </w:r>
          </w:p>
        </w:tc>
        <w:tc>
          <w:tcPr>
            <w:tcW w:w="374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vMerge w:val="restart"/>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6100" w:type="dxa"/>
            <w:vAlign w:val="bottom"/>
            <w:tcBorders>
              <w:bottom w:val="single" w:sz="8" w:color="auto"/>
            </w:tcBorders>
            <w:gridSpan w:val="2"/>
          </w:tcPr>
          <w:p>
            <w:pPr>
              <w:spacing w:after="0"/>
              <w:rPr>
                <w:sz w:val="13"/>
                <w:szCs w:val="13"/>
                <w:color w:val="auto"/>
              </w:rPr>
            </w:pPr>
          </w:p>
        </w:tc>
        <w:tc>
          <w:tcPr>
            <w:tcW w:w="3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0.5%</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422"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tabs>
          <w:tab w:leader="none" w:pos="5640" w:val="left"/>
          <w:tab w:leader="none" w:pos="10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4 of 15 Pages</w:t>
      </w:r>
    </w:p>
    <w:p>
      <w:pPr>
        <w:spacing w:after="0" w:line="171" w:lineRule="exact"/>
        <w:rPr>
          <w:sz w:val="20"/>
          <w:szCs w:val="20"/>
          <w:color w:val="auto"/>
        </w:rPr>
      </w:pPr>
    </w:p>
    <w:p>
      <w:pPr>
        <w:ind w:left="740" w:hanging="389"/>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445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SEQUOIA CAPITAL XI PRINCIPALS FUND LLC (“SC XI PF”)</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20-0040683</w:t>
      </w:r>
    </w:p>
    <w:p>
      <w:pPr>
        <w:spacing w:after="0" w:line="30" w:lineRule="exact"/>
        <w:rPr>
          <w:sz w:val="20"/>
          <w:szCs w:val="20"/>
          <w:color w:val="auto"/>
        </w:rPr>
      </w:pPr>
    </w:p>
    <w:p>
      <w:pPr>
        <w:ind w:left="740" w:hanging="367"/>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2" w:lineRule="exact"/>
        <w:rPr>
          <w:sz w:val="20"/>
          <w:szCs w:val="20"/>
          <w:color w:val="auto"/>
        </w:rPr>
      </w:pPr>
    </w:p>
    <w:p>
      <w:pPr>
        <w:ind w:left="740" w:hanging="36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36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DELAWARE</w:t>
      </w:r>
    </w:p>
    <w:p>
      <w:pPr>
        <w:spacing w:after="0" w:line="30" w:lineRule="exact"/>
        <w:rPr>
          <w:sz w:val="20"/>
          <w:szCs w:val="20"/>
          <w:color w:val="auto"/>
        </w:rPr>
      </w:pPr>
    </w:p>
    <w:p>
      <w:pPr>
        <w:ind w:left="1440"/>
        <w:spacing w:after="0"/>
        <w:tabs>
          <w:tab w:leader="none" w:pos="1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6"/>
          <w:szCs w:val="16"/>
          <w:color w:val="auto"/>
        </w:rPr>
        <w:t>SOLE VOTING POWER</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1,155,116</w:t>
            </w:r>
          </w:p>
        </w:tc>
        <w:tc>
          <w:tcPr>
            <w:tcW w:w="0" w:type="dxa"/>
            <w:vAlign w:val="bottom"/>
          </w:tcPr>
          <w:p>
            <w:pPr>
              <w:spacing w:after="0"/>
              <w:rPr>
                <w:sz w:val="1"/>
                <w:szCs w:val="1"/>
                <w:color w:val="auto"/>
              </w:rPr>
            </w:pPr>
          </w:p>
        </w:tc>
      </w:tr>
      <w:tr>
        <w:trPr>
          <w:trHeight w:val="229"/>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OWNED BY</w:t>
            </w:r>
          </w:p>
        </w:tc>
        <w:tc>
          <w:tcPr>
            <w:tcW w:w="200" w:type="dxa"/>
            <w:vAlign w:val="bottom"/>
          </w:tcPr>
          <w:p>
            <w:pPr>
              <w:spacing w:after="0"/>
              <w:rPr>
                <w:sz w:val="19"/>
                <w:szCs w:val="19"/>
                <w:color w:val="auto"/>
              </w:rPr>
            </w:pPr>
          </w:p>
        </w:tc>
        <w:tc>
          <w:tcPr>
            <w:tcW w:w="9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9840" w:type="dxa"/>
            <w:vAlign w:val="bottom"/>
            <w:tcBorders>
              <w:top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REPORTING</w:t>
            </w:r>
          </w:p>
        </w:tc>
        <w:tc>
          <w:tcPr>
            <w:tcW w:w="20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1,155,116</w:t>
      </w:r>
    </w:p>
    <w:p>
      <w:pPr>
        <w:spacing w:after="0" w:line="30" w:lineRule="exact"/>
        <w:rPr>
          <w:sz w:val="20"/>
          <w:szCs w:val="20"/>
          <w:color w:val="auto"/>
        </w:rPr>
      </w:pPr>
    </w:p>
    <w:p>
      <w:pPr>
        <w:ind w:left="740" w:hanging="36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1,155,116</w:t>
      </w:r>
    </w:p>
    <w:p>
      <w:pPr>
        <w:spacing w:after="0" w:line="30" w:lineRule="exact"/>
        <w:rPr>
          <w:sz w:val="20"/>
          <w:szCs w:val="20"/>
          <w:color w:val="auto"/>
        </w:rPr>
      </w:pPr>
    </w:p>
    <w:p>
      <w:pPr>
        <w:ind w:left="740" w:hanging="455"/>
        <w:spacing w:after="0" w:line="207" w:lineRule="exact"/>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39" w:lineRule="exact"/>
        <w:rPr>
          <w:rFonts w:ascii="Times New Roman" w:cs="Times New Roman" w:eastAsia="Times New Roman" w:hAnsi="Times New Roman"/>
          <w:sz w:val="18"/>
          <w:szCs w:val="18"/>
          <w:color w:val="auto"/>
        </w:rPr>
      </w:pPr>
    </w:p>
    <w:p>
      <w:pPr>
        <w:ind w:left="740" w:hanging="452"/>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1.7%</w:t>
      </w:r>
    </w:p>
    <w:p>
      <w:pPr>
        <w:spacing w:after="0" w:line="30" w:lineRule="exact"/>
        <w:rPr>
          <w:sz w:val="20"/>
          <w:szCs w:val="20"/>
          <w:color w:val="auto"/>
        </w:rPr>
      </w:pPr>
    </w:p>
    <w:p>
      <w:pPr>
        <w:ind w:left="2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440"/>
          </w:cols>
          <w:pgMar w:left="240" w:top="422" w:right="219" w:bottom="1440" w:gutter="0" w:footer="0" w:header="0"/>
        </w:sectPr>
      </w:pPr>
    </w:p>
    <w:bookmarkStart w:id="4" w:name="page5"/>
    <w:bookmarkEnd w:id="4"/>
    <w:p>
      <w:pPr>
        <w:spacing w:after="0"/>
        <w:tabs>
          <w:tab w:leader="none" w:pos="5640" w:val="left"/>
          <w:tab w:leader="none" w:pos="10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5 of 15 Pages</w:t>
      </w:r>
    </w:p>
    <w:p>
      <w:pPr>
        <w:spacing w:after="0" w:line="171" w:lineRule="exact"/>
        <w:rPr>
          <w:sz w:val="20"/>
          <w:szCs w:val="20"/>
          <w:color w:val="auto"/>
        </w:rPr>
      </w:pPr>
    </w:p>
    <w:p>
      <w:pPr>
        <w:ind w:left="740" w:hanging="389"/>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62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062980"/>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SC XI MANAGEMENT, LLC (“SC XI LLC”)</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13-4236767</w:t>
      </w:r>
    </w:p>
    <w:p>
      <w:pPr>
        <w:spacing w:after="0" w:line="30" w:lineRule="exact"/>
        <w:rPr>
          <w:sz w:val="20"/>
          <w:szCs w:val="20"/>
          <w:color w:val="auto"/>
        </w:rPr>
      </w:pPr>
    </w:p>
    <w:p>
      <w:pPr>
        <w:ind w:left="740" w:hanging="36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2" w:lineRule="exact"/>
        <w:rPr>
          <w:sz w:val="20"/>
          <w:szCs w:val="20"/>
          <w:color w:val="auto"/>
        </w:rPr>
      </w:pPr>
    </w:p>
    <w:p>
      <w:pPr>
        <w:ind w:left="740" w:hanging="36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36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420"/>
          </w:cols>
          <w:pgMar w:left="240" w:top="4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NUMBER OF</w:t>
      </w:r>
    </w:p>
    <w:p>
      <w:pPr>
        <w:spacing w:after="0" w:line="2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6"/>
          <w:szCs w:val="16"/>
          <w:color w:val="auto"/>
        </w:rPr>
        <w:t>BENEFICIALLY</w:t>
      </w:r>
    </w:p>
    <w:p>
      <w:pPr>
        <w:spacing w:after="0" w:line="32"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6"/>
          <w:szCs w:val="16"/>
          <w:color w:val="auto"/>
        </w:rPr>
        <w:t>SOLE VOTING POWER</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6"/>
          <w:szCs w:val="16"/>
          <w:color w:val="auto"/>
        </w:rPr>
        <w:t>SHARED VOTING POWER</w:t>
      </w:r>
    </w:p>
    <w:p>
      <w:pPr>
        <w:spacing w:after="0" w:line="199" w:lineRule="exact"/>
        <w:rPr>
          <w:sz w:val="20"/>
          <w:szCs w:val="20"/>
          <w:color w:val="auto"/>
        </w:rPr>
      </w:pPr>
    </w:p>
    <w:p>
      <w:pPr>
        <w:jc w:val="both"/>
        <w:ind w:left="240" w:right="280"/>
        <w:spacing w:after="0" w:line="243" w:lineRule="auto"/>
        <w:rPr>
          <w:sz w:val="20"/>
          <w:szCs w:val="20"/>
          <w:color w:val="auto"/>
        </w:rPr>
      </w:pPr>
      <w:r>
        <w:rPr>
          <w:rFonts w:ascii="Times New Roman" w:cs="Times New Roman" w:eastAsia="Times New Roman" w:hAnsi="Times New Roman"/>
          <w:sz w:val="22"/>
          <w:szCs w:val="22"/>
          <w:color w:val="auto"/>
        </w:rPr>
        <w:t>12,108,142 shares of which 10,617,630 shares are directly held by SC XI, 335,396 shares are directly held by STP XI and 1,155,116 shares are directly held by SC XI PF. SC XI LLC is the General Partner of each of SC XI and STP XI, and the Managing Member of SC XI PF.</w:t>
      </w:r>
    </w:p>
    <w:p>
      <w:pPr>
        <w:spacing w:after="0" w:line="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6"/>
          <w:szCs w:val="16"/>
          <w:color w:val="auto"/>
        </w:rPr>
        <w:t>SOLE DISPOSITIVE POWER</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6"/>
          <w:szCs w:val="16"/>
          <w:color w:val="auto"/>
        </w:rPr>
        <w:t>SHARED DISPOSITIVE POWER</w:t>
      </w:r>
    </w:p>
    <w:p>
      <w:pPr>
        <w:spacing w:after="0" w:line="199" w:lineRule="exact"/>
        <w:rPr>
          <w:sz w:val="20"/>
          <w:szCs w:val="20"/>
          <w:color w:val="auto"/>
        </w:rPr>
      </w:pPr>
    </w:p>
    <w:p>
      <w:pPr>
        <w:jc w:val="both"/>
        <w:ind w:left="240" w:right="280"/>
        <w:spacing w:after="0" w:line="243" w:lineRule="auto"/>
        <w:rPr>
          <w:sz w:val="20"/>
          <w:szCs w:val="20"/>
          <w:color w:val="auto"/>
        </w:rPr>
      </w:pPr>
      <w:r>
        <w:rPr>
          <w:rFonts w:ascii="Times New Roman" w:cs="Times New Roman" w:eastAsia="Times New Roman" w:hAnsi="Times New Roman"/>
          <w:sz w:val="22"/>
          <w:szCs w:val="22"/>
          <w:color w:val="auto"/>
        </w:rPr>
        <w:t>12,108,142 shares of which 10,617,630 shares are directly held by SC XI, 335,396 shares are directly held by STP XI and 1,155,116 shares are directly held by SC XI PF. SC XI LLC is the General Partner of each of SC XI and STP XI, and the Managing Member of SC XI PF.</w:t>
      </w:r>
    </w:p>
    <w:p>
      <w:pPr>
        <w:spacing w:after="0" w:line="1" w:lineRule="exact"/>
        <w:rPr>
          <w:sz w:val="20"/>
          <w:szCs w:val="20"/>
          <w:color w:val="auto"/>
        </w:rPr>
      </w:pPr>
    </w:p>
    <w:p>
      <w:pPr>
        <w:sectPr>
          <w:pgSz w:w="11900" w:h="16838" w:orient="portrait"/>
          <w:cols w:equalWidth="0" w:num="2">
            <w:col w:w="1380" w:space="60"/>
            <w:col w:w="9980"/>
          </w:cols>
          <w:pgMar w:left="240" w:top="422" w:right="239" w:bottom="1440" w:gutter="0" w:footer="0" w:header="0"/>
          <w:type w:val="continuous"/>
        </w:sectPr>
      </w:pPr>
    </w:p>
    <w:p>
      <w:pPr>
        <w:ind w:left="740" w:hanging="36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12,108,142</w:t>
      </w:r>
    </w:p>
    <w:p>
      <w:pPr>
        <w:spacing w:after="0" w:line="30" w:lineRule="exact"/>
        <w:rPr>
          <w:sz w:val="20"/>
          <w:szCs w:val="20"/>
          <w:color w:val="auto"/>
        </w:rPr>
      </w:pPr>
    </w:p>
    <w:p>
      <w:pPr>
        <w:ind w:left="740" w:hanging="455"/>
        <w:spacing w:after="0" w:line="184" w:lineRule="exact"/>
        <w:tabs>
          <w:tab w:leader="none" w:pos="7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BOX IF THE AGGREGATE AMOUNT IN ROW (9) EXCLUDES CERTAIN SHARES  </w:t>
      </w:r>
      <w:r>
        <w:rPr>
          <w:rFonts w:ascii="MS PGothic" w:cs="MS PGothic" w:eastAsia="MS PGothic" w:hAnsi="MS PGothic"/>
          <w:sz w:val="16"/>
          <w:szCs w:val="16"/>
          <w:color w:val="auto"/>
        </w:rPr>
        <w:t>☐</w:t>
      </w:r>
    </w:p>
    <w:p>
      <w:pPr>
        <w:spacing w:after="0" w:line="262" w:lineRule="exact"/>
        <w:rPr>
          <w:rFonts w:ascii="Times New Roman" w:cs="Times New Roman" w:eastAsia="Times New Roman" w:hAnsi="Times New Roman"/>
          <w:sz w:val="16"/>
          <w:szCs w:val="16"/>
          <w:color w:val="auto"/>
        </w:rPr>
      </w:pPr>
    </w:p>
    <w:p>
      <w:pPr>
        <w:ind w:left="740" w:hanging="452"/>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17.7%</w:t>
      </w:r>
    </w:p>
    <w:p>
      <w:pPr>
        <w:spacing w:after="0" w:line="30" w:lineRule="exact"/>
        <w:rPr>
          <w:sz w:val="20"/>
          <w:szCs w:val="20"/>
          <w:color w:val="auto"/>
        </w:rPr>
      </w:pPr>
    </w:p>
    <w:p>
      <w:pPr>
        <w:ind w:left="2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420"/>
          </w:cols>
          <w:pgMar w:left="240" w:top="422"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16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CUSIP NO. 697435105</w:t>
            </w:r>
          </w:p>
        </w:tc>
        <w:tc>
          <w:tcPr>
            <w:tcW w:w="602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13 G</w:t>
            </w:r>
          </w:p>
        </w:tc>
        <w:tc>
          <w:tcPr>
            <w:tcW w:w="374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6"/>
              </w:rPr>
              <w:t>Page 6 of 15 Pages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60" w:type="dxa"/>
            <w:vAlign w:val="bottom"/>
            <w:tcBorders>
              <w:bottom w:val="single" w:sz="8" w:color="auto"/>
            </w:tcBorders>
            <w:gridSpan w:val="5"/>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SEQUOIA CAPITAL GROWTH FUND III, L.P. (“SCGF III”)</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20-2812490</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tcBorders>
              <w:right w:val="single" w:sz="8" w:color="auto"/>
            </w:tcBorders>
          </w:tcPr>
          <w:p>
            <w:pPr>
              <w:spacing w:after="0"/>
              <w:rPr>
                <w:sz w:val="14"/>
                <w:szCs w:val="14"/>
                <w:color w:val="auto"/>
              </w:rPr>
            </w:pPr>
          </w:p>
        </w:tc>
        <w:tc>
          <w:tcPr>
            <w:tcW w:w="4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right w:val="single" w:sz="8" w:color="auto"/>
            </w:tcBorders>
          </w:tcPr>
          <w:p>
            <w:pPr>
              <w:spacing w:after="0"/>
              <w:rPr>
                <w:sz w:val="14"/>
                <w:szCs w:val="14"/>
                <w:color w:val="auto"/>
              </w:rPr>
            </w:pPr>
          </w:p>
        </w:tc>
        <w:tc>
          <w:tcPr>
            <w:tcW w:w="7060" w:type="dxa"/>
            <w:vAlign w:val="bottom"/>
            <w:gridSpan w:val="5"/>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30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37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vMerge w:val="restart"/>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060" w:type="dxa"/>
            <w:vAlign w:val="bottom"/>
            <w:tcBorders>
              <w:bottom w:val="single" w:sz="8" w:color="auto"/>
            </w:tcBorders>
            <w:gridSpan w:val="5"/>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vMerge w:val="restart"/>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7060" w:type="dxa"/>
            <w:vAlign w:val="bottom"/>
            <w:tcBorders>
              <w:bottom w:val="single" w:sz="8" w:color="auto"/>
            </w:tcBorders>
            <w:gridSpan w:val="5"/>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4"/>
              </w:rPr>
              <w:t>BENEFICIALLY</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1,475,592</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vMerge w:val="continue"/>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Borders>
              <w:right w:val="single" w:sz="8" w:color="auto"/>
            </w:tcBorders>
            <w:gridSpan w:val="2"/>
          </w:tcPr>
          <w:p>
            <w:pPr>
              <w:jc w:val="center"/>
              <w:ind w:right="265"/>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40" w:type="dxa"/>
            <w:vAlign w:val="bottom"/>
          </w:tcPr>
          <w:p>
            <w:pPr>
              <w:spacing w:after="0"/>
              <w:rPr>
                <w:sz w:val="15"/>
                <w:szCs w:val="15"/>
                <w:color w:val="auto"/>
              </w:rPr>
            </w:pPr>
          </w:p>
        </w:tc>
        <w:tc>
          <w:tcPr>
            <w:tcW w:w="200" w:type="dxa"/>
            <w:vAlign w:val="bottom"/>
            <w:tcBorders>
              <w:right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602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vMerge w:val="continue"/>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40" w:type="dxa"/>
            <w:vAlign w:val="bottom"/>
            <w:tcBorders>
              <w:right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Borders>
              <w:right w:val="single" w:sz="8" w:color="auto"/>
            </w:tcBorders>
            <w:gridSpan w:val="2"/>
            <w:vMerge w:val="restart"/>
          </w:tcPr>
          <w:p>
            <w:pPr>
              <w:jc w:val="center"/>
              <w:ind w:right="285"/>
              <w:spacing w:after="0"/>
              <w:rPr>
                <w:sz w:val="20"/>
                <w:szCs w:val="20"/>
                <w:color w:val="auto"/>
              </w:rPr>
            </w:pPr>
            <w:r>
              <w:rPr>
                <w:rFonts w:ascii="Times New Roman" w:cs="Times New Roman" w:eastAsia="Times New Roman" w:hAnsi="Times New Roman"/>
                <w:sz w:val="18"/>
                <w:szCs w:val="18"/>
                <w:color w:val="auto"/>
                <w:w w:val="97"/>
              </w:rPr>
              <w:t>WITH</w:t>
            </w: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20" w:type="dxa"/>
            <w:vAlign w:val="bottom"/>
            <w:tcBorders>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1,475,592</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right w:val="single" w:sz="8" w:color="auto"/>
            </w:tcBorders>
          </w:tcPr>
          <w:p>
            <w:pPr>
              <w:spacing w:after="0"/>
              <w:rPr>
                <w:sz w:val="19"/>
                <w:szCs w:val="19"/>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4"/>
              </w:rPr>
              <w:t>AGGREGATE</w:t>
            </w: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1,475,592</w:t>
            </w:r>
          </w:p>
        </w:tc>
        <w:tc>
          <w:tcPr>
            <w:tcW w:w="60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right w:val="single" w:sz="8" w:color="auto"/>
            </w:tcBorders>
          </w:tcPr>
          <w:p>
            <w:pPr>
              <w:spacing w:after="0"/>
              <w:rPr>
                <w:sz w:val="23"/>
                <w:szCs w:val="23"/>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7"/>
              </w:rPr>
              <w:t>CHECK BOX IF THE AGGREGATE AMOUNT IN ROW (9) EXCLUDES CERTAIN SHARES</w:t>
            </w:r>
          </w:p>
        </w:tc>
        <w:tc>
          <w:tcPr>
            <w:tcW w:w="374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vMerge w:val="restart"/>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6100" w:type="dxa"/>
            <w:vAlign w:val="bottom"/>
            <w:tcBorders>
              <w:bottom w:val="single" w:sz="8" w:color="auto"/>
            </w:tcBorders>
            <w:gridSpan w:val="2"/>
          </w:tcPr>
          <w:p>
            <w:pPr>
              <w:spacing w:after="0"/>
              <w:rPr>
                <w:sz w:val="13"/>
                <w:szCs w:val="13"/>
                <w:color w:val="auto"/>
              </w:rPr>
            </w:pPr>
          </w:p>
        </w:tc>
        <w:tc>
          <w:tcPr>
            <w:tcW w:w="3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2.2%</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right w:val="single" w:sz="8" w:color="auto"/>
            </w:tcBorders>
          </w:tcPr>
          <w:p>
            <w:pPr>
              <w:spacing w:after="0"/>
              <w:rPr>
                <w:sz w:val="19"/>
                <w:szCs w:val="19"/>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422"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spacing w:after="0"/>
        <w:tabs>
          <w:tab w:leader="none" w:pos="5640" w:val="left"/>
          <w:tab w:leader="none" w:pos="10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7 of 15 Pages</w:t>
      </w:r>
    </w:p>
    <w:p>
      <w:pPr>
        <w:spacing w:after="0" w:line="171" w:lineRule="exact"/>
        <w:rPr>
          <w:sz w:val="20"/>
          <w:szCs w:val="20"/>
          <w:color w:val="auto"/>
        </w:rPr>
      </w:pPr>
    </w:p>
    <w:p>
      <w:pPr>
        <w:ind w:left="740" w:hanging="389"/>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44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SEQUOIA CAPITAL GROWTH PARTNERS III, L.P. (“SCGP III”)</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20-3735244</w:t>
      </w:r>
    </w:p>
    <w:p>
      <w:pPr>
        <w:spacing w:after="0" w:line="30" w:lineRule="exact"/>
        <w:rPr>
          <w:sz w:val="20"/>
          <w:szCs w:val="20"/>
          <w:color w:val="auto"/>
        </w:rPr>
      </w:pPr>
    </w:p>
    <w:p>
      <w:pPr>
        <w:ind w:left="740" w:hanging="36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2" w:lineRule="exact"/>
        <w:rPr>
          <w:sz w:val="20"/>
          <w:szCs w:val="20"/>
          <w:color w:val="auto"/>
        </w:rPr>
      </w:pPr>
    </w:p>
    <w:p>
      <w:pPr>
        <w:ind w:left="740" w:hanging="36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367"/>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DELAWARE</w:t>
      </w:r>
    </w:p>
    <w:p>
      <w:pPr>
        <w:spacing w:after="0" w:line="30" w:lineRule="exact"/>
        <w:rPr>
          <w:sz w:val="20"/>
          <w:szCs w:val="20"/>
          <w:color w:val="auto"/>
        </w:rPr>
      </w:pPr>
    </w:p>
    <w:p>
      <w:pPr>
        <w:ind w:left="1440"/>
        <w:spacing w:after="0"/>
        <w:tabs>
          <w:tab w:leader="none" w:pos="1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6"/>
          <w:szCs w:val="16"/>
          <w:color w:val="auto"/>
        </w:rPr>
        <w:t>SOLE VOTING POWER</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16,150</w:t>
            </w:r>
          </w:p>
        </w:tc>
        <w:tc>
          <w:tcPr>
            <w:tcW w:w="0" w:type="dxa"/>
            <w:vAlign w:val="bottom"/>
          </w:tcPr>
          <w:p>
            <w:pPr>
              <w:spacing w:after="0"/>
              <w:rPr>
                <w:sz w:val="1"/>
                <w:szCs w:val="1"/>
                <w:color w:val="auto"/>
              </w:rPr>
            </w:pPr>
          </w:p>
        </w:tc>
      </w:tr>
      <w:tr>
        <w:trPr>
          <w:trHeight w:val="229"/>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OWNED BY</w:t>
            </w:r>
          </w:p>
        </w:tc>
        <w:tc>
          <w:tcPr>
            <w:tcW w:w="200" w:type="dxa"/>
            <w:vAlign w:val="bottom"/>
          </w:tcPr>
          <w:p>
            <w:pPr>
              <w:spacing w:after="0"/>
              <w:rPr>
                <w:sz w:val="19"/>
                <w:szCs w:val="19"/>
                <w:color w:val="auto"/>
              </w:rPr>
            </w:pPr>
          </w:p>
        </w:tc>
        <w:tc>
          <w:tcPr>
            <w:tcW w:w="9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9840" w:type="dxa"/>
            <w:vAlign w:val="bottom"/>
            <w:tcBorders>
              <w:top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REPORTING</w:t>
            </w:r>
          </w:p>
        </w:tc>
        <w:tc>
          <w:tcPr>
            <w:tcW w:w="20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16,150</w:t>
      </w:r>
    </w:p>
    <w:p>
      <w:pPr>
        <w:spacing w:after="0" w:line="30" w:lineRule="exact"/>
        <w:rPr>
          <w:sz w:val="20"/>
          <w:szCs w:val="20"/>
          <w:color w:val="auto"/>
        </w:rPr>
      </w:pPr>
    </w:p>
    <w:p>
      <w:pPr>
        <w:ind w:left="740" w:hanging="36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16,150</w:t>
      </w:r>
    </w:p>
    <w:p>
      <w:pPr>
        <w:spacing w:after="0" w:line="30" w:lineRule="exact"/>
        <w:rPr>
          <w:sz w:val="20"/>
          <w:szCs w:val="20"/>
          <w:color w:val="auto"/>
        </w:rPr>
      </w:pPr>
    </w:p>
    <w:p>
      <w:pPr>
        <w:ind w:left="740" w:hanging="455"/>
        <w:spacing w:after="0" w:line="207" w:lineRule="exact"/>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39" w:lineRule="exact"/>
        <w:rPr>
          <w:rFonts w:ascii="Times New Roman" w:cs="Times New Roman" w:eastAsia="Times New Roman" w:hAnsi="Times New Roman"/>
          <w:sz w:val="18"/>
          <w:szCs w:val="18"/>
          <w:color w:val="auto"/>
        </w:rPr>
      </w:pPr>
    </w:p>
    <w:p>
      <w:pPr>
        <w:ind w:left="740" w:hanging="452"/>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Less than 0.1%</w:t>
      </w:r>
    </w:p>
    <w:p>
      <w:pPr>
        <w:spacing w:after="0" w:line="30" w:lineRule="exact"/>
        <w:rPr>
          <w:sz w:val="20"/>
          <w:szCs w:val="20"/>
          <w:color w:val="auto"/>
        </w:rPr>
      </w:pPr>
    </w:p>
    <w:p>
      <w:pPr>
        <w:ind w:left="2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440"/>
          </w:cols>
          <w:pgMar w:left="240" w:top="422" w:right="219" w:bottom="1440" w:gutter="0" w:footer="0" w:header="0"/>
        </w:sectPr>
      </w:pPr>
    </w:p>
    <w:bookmarkStart w:id="7" w:name="page8"/>
    <w:bookmarkEnd w:id="7"/>
    <w:p>
      <w:pPr>
        <w:spacing w:after="0"/>
        <w:tabs>
          <w:tab w:leader="none" w:pos="5640" w:val="left"/>
          <w:tab w:leader="none" w:pos="10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8 of 15 Pages</w:t>
      </w:r>
    </w:p>
    <w:p>
      <w:pPr>
        <w:spacing w:after="0" w:line="171" w:lineRule="exact"/>
        <w:rPr>
          <w:sz w:val="20"/>
          <w:szCs w:val="20"/>
          <w:color w:val="auto"/>
        </w:rPr>
      </w:pPr>
    </w:p>
    <w:p>
      <w:pPr>
        <w:ind w:left="740" w:hanging="389"/>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445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SEQUOIA CAPITAL GROWTH III PRINCIPALS FUND LLC (“SCG III PF”)</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20-3737763</w:t>
      </w:r>
    </w:p>
    <w:p>
      <w:pPr>
        <w:spacing w:after="0" w:line="30" w:lineRule="exact"/>
        <w:rPr>
          <w:sz w:val="20"/>
          <w:szCs w:val="20"/>
          <w:color w:val="auto"/>
        </w:rPr>
      </w:pPr>
    </w:p>
    <w:p>
      <w:pPr>
        <w:ind w:left="740" w:hanging="367"/>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2" w:lineRule="exact"/>
        <w:rPr>
          <w:sz w:val="20"/>
          <w:szCs w:val="20"/>
          <w:color w:val="auto"/>
        </w:rPr>
      </w:pPr>
    </w:p>
    <w:p>
      <w:pPr>
        <w:ind w:left="740" w:hanging="367"/>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367"/>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DELAWARE</w:t>
      </w:r>
    </w:p>
    <w:p>
      <w:pPr>
        <w:spacing w:after="0" w:line="30" w:lineRule="exact"/>
        <w:rPr>
          <w:sz w:val="20"/>
          <w:szCs w:val="20"/>
          <w:color w:val="auto"/>
        </w:rPr>
      </w:pPr>
    </w:p>
    <w:p>
      <w:pPr>
        <w:ind w:left="1440"/>
        <w:spacing w:after="0"/>
        <w:tabs>
          <w:tab w:leader="none" w:pos="1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6"/>
          <w:szCs w:val="16"/>
          <w:color w:val="auto"/>
        </w:rPr>
        <w:t>SOLE VOTING POWER</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76,202</w:t>
            </w:r>
          </w:p>
        </w:tc>
        <w:tc>
          <w:tcPr>
            <w:tcW w:w="0" w:type="dxa"/>
            <w:vAlign w:val="bottom"/>
          </w:tcPr>
          <w:p>
            <w:pPr>
              <w:spacing w:after="0"/>
              <w:rPr>
                <w:sz w:val="1"/>
                <w:szCs w:val="1"/>
                <w:color w:val="auto"/>
              </w:rPr>
            </w:pPr>
          </w:p>
        </w:tc>
      </w:tr>
      <w:tr>
        <w:trPr>
          <w:trHeight w:val="229"/>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OWNED BY</w:t>
            </w:r>
          </w:p>
        </w:tc>
        <w:tc>
          <w:tcPr>
            <w:tcW w:w="200" w:type="dxa"/>
            <w:vAlign w:val="bottom"/>
          </w:tcPr>
          <w:p>
            <w:pPr>
              <w:spacing w:after="0"/>
              <w:rPr>
                <w:sz w:val="19"/>
                <w:szCs w:val="19"/>
                <w:color w:val="auto"/>
              </w:rPr>
            </w:pPr>
          </w:p>
        </w:tc>
        <w:tc>
          <w:tcPr>
            <w:tcW w:w="9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9840" w:type="dxa"/>
            <w:vAlign w:val="bottom"/>
            <w:tcBorders>
              <w:top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REPORTING</w:t>
            </w:r>
          </w:p>
        </w:tc>
        <w:tc>
          <w:tcPr>
            <w:tcW w:w="20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76,202</w:t>
      </w:r>
    </w:p>
    <w:p>
      <w:pPr>
        <w:spacing w:after="0" w:line="30" w:lineRule="exact"/>
        <w:rPr>
          <w:sz w:val="20"/>
          <w:szCs w:val="20"/>
          <w:color w:val="auto"/>
        </w:rPr>
      </w:pPr>
    </w:p>
    <w:p>
      <w:pPr>
        <w:ind w:left="740" w:hanging="36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76,202</w:t>
      </w:r>
    </w:p>
    <w:p>
      <w:pPr>
        <w:spacing w:after="0" w:line="30" w:lineRule="exact"/>
        <w:rPr>
          <w:sz w:val="20"/>
          <w:szCs w:val="20"/>
          <w:color w:val="auto"/>
        </w:rPr>
      </w:pPr>
    </w:p>
    <w:p>
      <w:pPr>
        <w:ind w:left="740" w:hanging="455"/>
        <w:spacing w:after="0" w:line="207" w:lineRule="exact"/>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39" w:lineRule="exact"/>
        <w:rPr>
          <w:rFonts w:ascii="Times New Roman" w:cs="Times New Roman" w:eastAsia="Times New Roman" w:hAnsi="Times New Roman"/>
          <w:sz w:val="18"/>
          <w:szCs w:val="18"/>
          <w:color w:val="auto"/>
        </w:rPr>
      </w:pPr>
    </w:p>
    <w:p>
      <w:pPr>
        <w:ind w:left="740" w:hanging="452"/>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0.1%</w:t>
      </w:r>
    </w:p>
    <w:p>
      <w:pPr>
        <w:spacing w:after="0" w:line="30" w:lineRule="exact"/>
        <w:rPr>
          <w:sz w:val="20"/>
          <w:szCs w:val="20"/>
          <w:color w:val="auto"/>
        </w:rPr>
      </w:pPr>
    </w:p>
    <w:p>
      <w:pPr>
        <w:ind w:left="2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440"/>
          </w:cols>
          <w:pgMar w:left="240" w:top="422" w:right="219" w:bottom="1440" w:gutter="0" w:footer="0" w:header="0"/>
        </w:sectPr>
      </w:pPr>
    </w:p>
    <w:bookmarkStart w:id="8" w:name="page9"/>
    <w:bookmarkEnd w:id="8"/>
    <w:p>
      <w:pPr>
        <w:spacing w:after="0"/>
        <w:tabs>
          <w:tab w:leader="none" w:pos="5640" w:val="left"/>
          <w:tab w:leader="none" w:pos="10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9 of 15 Pages</w:t>
      </w:r>
    </w:p>
    <w:p>
      <w:pPr>
        <w:spacing w:after="0" w:line="171" w:lineRule="exact"/>
        <w:rPr>
          <w:sz w:val="20"/>
          <w:szCs w:val="20"/>
          <w:color w:val="auto"/>
        </w:rPr>
      </w:pPr>
    </w:p>
    <w:p>
      <w:pPr>
        <w:ind w:left="740" w:hanging="389"/>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62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6062980"/>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SCGF III MANAGEMENT, LLC (“SCGF III LLC”)</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20-2812373</w:t>
      </w:r>
    </w:p>
    <w:p>
      <w:pPr>
        <w:spacing w:after="0" w:line="30" w:lineRule="exact"/>
        <w:rPr>
          <w:sz w:val="20"/>
          <w:szCs w:val="20"/>
          <w:color w:val="auto"/>
        </w:rPr>
      </w:pPr>
    </w:p>
    <w:p>
      <w:pPr>
        <w:ind w:left="740" w:hanging="36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2" w:lineRule="exact"/>
        <w:rPr>
          <w:sz w:val="20"/>
          <w:szCs w:val="20"/>
          <w:color w:val="auto"/>
        </w:rPr>
      </w:pPr>
    </w:p>
    <w:p>
      <w:pPr>
        <w:ind w:left="740" w:hanging="367"/>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367"/>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420"/>
          </w:cols>
          <w:pgMar w:left="240" w:top="4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NUMBER OF</w:t>
      </w:r>
    </w:p>
    <w:p>
      <w:pPr>
        <w:spacing w:after="0" w:line="2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6"/>
          <w:szCs w:val="16"/>
          <w:color w:val="auto"/>
        </w:rPr>
        <w:t>BENEFICIALLY</w:t>
      </w:r>
    </w:p>
    <w:p>
      <w:pPr>
        <w:spacing w:after="0" w:line="32"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6"/>
          <w:szCs w:val="16"/>
          <w:color w:val="auto"/>
        </w:rPr>
        <w:t>SOLE VOTING POWER</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6"/>
          <w:szCs w:val="16"/>
          <w:color w:val="auto"/>
        </w:rPr>
        <w:t>SHARED VOTING POWER</w:t>
      </w:r>
    </w:p>
    <w:p>
      <w:pPr>
        <w:spacing w:after="0" w:line="199" w:lineRule="exact"/>
        <w:rPr>
          <w:sz w:val="20"/>
          <w:szCs w:val="20"/>
          <w:color w:val="auto"/>
        </w:rPr>
      </w:pPr>
    </w:p>
    <w:p>
      <w:pPr>
        <w:ind w:left="240" w:right="160"/>
        <w:spacing w:after="0" w:line="243" w:lineRule="auto"/>
        <w:rPr>
          <w:sz w:val="20"/>
          <w:szCs w:val="20"/>
          <w:color w:val="auto"/>
        </w:rPr>
      </w:pPr>
      <w:r>
        <w:rPr>
          <w:rFonts w:ascii="Times New Roman" w:cs="Times New Roman" w:eastAsia="Times New Roman" w:hAnsi="Times New Roman"/>
          <w:sz w:val="22"/>
          <w:szCs w:val="22"/>
          <w:color w:val="auto"/>
        </w:rPr>
        <w:t>1,567,944 shares of which 1,475,592 shares are directly held by SCGF III, 16,150 shares are directly held by SCGP III and 76,202 shares are directly held by SCG III PF. SCGF III LLC is the General Partner of SCGF III and SCGP III, and the Managing Member of SCG III PF.</w:t>
      </w:r>
    </w:p>
    <w:p>
      <w:pPr>
        <w:spacing w:after="0" w:line="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6"/>
          <w:szCs w:val="16"/>
          <w:color w:val="auto"/>
        </w:rPr>
        <w:t>SOLE DISPOSITIVE POWER</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6"/>
          <w:szCs w:val="16"/>
          <w:color w:val="auto"/>
        </w:rPr>
        <w:t>SHARED DISPOSITIVE POWER</w:t>
      </w:r>
    </w:p>
    <w:p>
      <w:pPr>
        <w:spacing w:after="0" w:line="199" w:lineRule="exact"/>
        <w:rPr>
          <w:sz w:val="20"/>
          <w:szCs w:val="20"/>
          <w:color w:val="auto"/>
        </w:rPr>
      </w:pPr>
    </w:p>
    <w:p>
      <w:pPr>
        <w:ind w:left="240" w:right="160"/>
        <w:spacing w:after="0" w:line="243" w:lineRule="auto"/>
        <w:rPr>
          <w:sz w:val="20"/>
          <w:szCs w:val="20"/>
          <w:color w:val="auto"/>
        </w:rPr>
      </w:pPr>
      <w:r>
        <w:rPr>
          <w:rFonts w:ascii="Times New Roman" w:cs="Times New Roman" w:eastAsia="Times New Roman" w:hAnsi="Times New Roman"/>
          <w:sz w:val="22"/>
          <w:szCs w:val="22"/>
          <w:color w:val="auto"/>
        </w:rPr>
        <w:t>1,567,944 shares of which 1,475,592 shares are directly held by SCGF III, 16,150 shares are directly held by SCGP III and 76,202 shares are directly held by SCG III PF. SCGF III LLC is the General Partner of SCGF III and SCGP III, and the Managing Member of SCG III PF.</w:t>
      </w:r>
    </w:p>
    <w:p>
      <w:pPr>
        <w:spacing w:after="0" w:line="1" w:lineRule="exact"/>
        <w:rPr>
          <w:sz w:val="20"/>
          <w:szCs w:val="20"/>
          <w:color w:val="auto"/>
        </w:rPr>
      </w:pPr>
    </w:p>
    <w:p>
      <w:pPr>
        <w:sectPr>
          <w:pgSz w:w="11900" w:h="16838" w:orient="portrait"/>
          <w:cols w:equalWidth="0" w:num="2">
            <w:col w:w="1380" w:space="60"/>
            <w:col w:w="9980"/>
          </w:cols>
          <w:pgMar w:left="240" w:top="422" w:right="239" w:bottom="1440" w:gutter="0" w:footer="0" w:header="0"/>
          <w:type w:val="continuous"/>
        </w:sectPr>
      </w:pPr>
    </w:p>
    <w:p>
      <w:pPr>
        <w:ind w:left="740" w:hanging="36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1,567,944</w:t>
      </w:r>
    </w:p>
    <w:p>
      <w:pPr>
        <w:spacing w:after="0" w:line="30" w:lineRule="exact"/>
        <w:rPr>
          <w:sz w:val="20"/>
          <w:szCs w:val="20"/>
          <w:color w:val="auto"/>
        </w:rPr>
      </w:pPr>
    </w:p>
    <w:p>
      <w:pPr>
        <w:ind w:left="740" w:hanging="455"/>
        <w:spacing w:after="0" w:line="184" w:lineRule="exact"/>
        <w:tabs>
          <w:tab w:leader="none" w:pos="7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BOX IF THE AGGREGATE AMOUNT IN ROW (9) EXCLUDES CERTAIN SHARES  </w:t>
      </w:r>
      <w:r>
        <w:rPr>
          <w:rFonts w:ascii="MS PGothic" w:cs="MS PGothic" w:eastAsia="MS PGothic" w:hAnsi="MS PGothic"/>
          <w:sz w:val="16"/>
          <w:szCs w:val="16"/>
          <w:color w:val="auto"/>
        </w:rPr>
        <w:t>☐</w:t>
      </w:r>
    </w:p>
    <w:p>
      <w:pPr>
        <w:spacing w:after="0" w:line="262" w:lineRule="exact"/>
        <w:rPr>
          <w:rFonts w:ascii="Times New Roman" w:cs="Times New Roman" w:eastAsia="Times New Roman" w:hAnsi="Times New Roman"/>
          <w:sz w:val="16"/>
          <w:szCs w:val="16"/>
          <w:color w:val="auto"/>
        </w:rPr>
      </w:pPr>
    </w:p>
    <w:p>
      <w:pPr>
        <w:ind w:left="740" w:hanging="452"/>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2.3%</w:t>
      </w:r>
    </w:p>
    <w:p>
      <w:pPr>
        <w:spacing w:after="0" w:line="30" w:lineRule="exact"/>
        <w:rPr>
          <w:sz w:val="20"/>
          <w:szCs w:val="20"/>
          <w:color w:val="auto"/>
        </w:rPr>
      </w:pPr>
    </w:p>
    <w:p>
      <w:pPr>
        <w:ind w:left="2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420"/>
          </w:cols>
          <w:pgMar w:left="240" w:top="422" w:right="239" w:bottom="1440" w:gutter="0" w:footer="0" w:header="0"/>
          <w:type w:val="continuous"/>
        </w:sectPr>
      </w:pPr>
    </w:p>
    <w:bookmarkStart w:id="9" w:name="page10"/>
    <w:bookmarkEnd w:id="9"/>
    <w:p>
      <w:pPr>
        <w:spacing w:after="0"/>
        <w:tabs>
          <w:tab w:leader="none" w:pos="5640" w:val="left"/>
          <w:tab w:leader="none" w:pos="8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10 of 15 Pages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90"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Palo Alto Networks, Inc.</w:t>
      </w:r>
    </w:p>
    <w:p>
      <w:pPr>
        <w:spacing w:after="0" w:line="90" w:lineRule="exact"/>
        <w:rPr>
          <w:rFonts w:ascii="Times New Roman" w:cs="Times New Roman" w:eastAsia="Times New Roman" w:hAnsi="Times New Roman"/>
          <w:sz w:val="18"/>
          <w:szCs w:val="18"/>
          <w:color w:val="auto"/>
        </w:rPr>
      </w:pPr>
    </w:p>
    <w:p>
      <w:pPr>
        <w:ind w:left="2720" w:right="6880" w:hanging="2266"/>
        <w:spacing w:after="0" w:line="262" w:lineRule="auto"/>
        <w:tabs>
          <w:tab w:leader="none" w:pos="8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3300 Olcott Street Santa Clara, CA 95054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90" w:lineRule="exact"/>
        <w:rPr>
          <w:sz w:val="20"/>
          <w:szCs w:val="20"/>
          <w:color w:val="auto"/>
        </w:rPr>
      </w:pPr>
    </w:p>
    <w:p>
      <w:pPr>
        <w:jc w:val="both"/>
        <w:ind w:left="460" w:right="9120" w:hanging="452"/>
        <w:spacing w:after="0" w:line="289" w:lineRule="auto"/>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Persons Filing: Sequoia Capital XI, L.P.</w:t>
      </w:r>
    </w:p>
    <w:p>
      <w:pPr>
        <w:spacing w:after="0" w:line="1" w:lineRule="exact"/>
        <w:rPr>
          <w:rFonts w:ascii="Times New Roman" w:cs="Times New Roman" w:eastAsia="Times New Roman" w:hAnsi="Times New Roman"/>
          <w:sz w:val="16"/>
          <w:szCs w:val="16"/>
          <w:color w:val="auto"/>
        </w:rPr>
      </w:pPr>
    </w:p>
    <w:p>
      <w:pPr>
        <w:ind w:left="460" w:right="790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Sequoia Technology Partners XI, L.P. Sequoia Capital XI Principals Fund, LLC SC XI Management, LLC</w:t>
      </w:r>
    </w:p>
    <w:p>
      <w:pPr>
        <w:spacing w:after="0" w:line="1" w:lineRule="exact"/>
        <w:rPr>
          <w:rFonts w:ascii="Times New Roman" w:cs="Times New Roman" w:eastAsia="Times New Roman" w:hAnsi="Times New Roman"/>
          <w:sz w:val="16"/>
          <w:szCs w:val="16"/>
          <w:color w:val="auto"/>
        </w:rPr>
      </w:pPr>
    </w:p>
    <w:p>
      <w:pPr>
        <w:ind w:left="460" w:right="738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Sequoia Capital Growth Fund III, L.P. Sequoia Capital Growth Partners III, L.P. Sequoia Capital Growth III Principals Fund LLC SCGF III Management, LLC</w:t>
      </w:r>
    </w:p>
    <w:p>
      <w:pPr>
        <w:spacing w:after="0" w:line="56" w:lineRule="exact"/>
        <w:rPr>
          <w:rFonts w:ascii="Times New Roman" w:cs="Times New Roman" w:eastAsia="Times New Roman" w:hAnsi="Times New Roman"/>
          <w:sz w:val="16"/>
          <w:szCs w:val="16"/>
          <w:color w:val="auto"/>
        </w:rPr>
      </w:pPr>
    </w:p>
    <w:p>
      <w:pPr>
        <w:ind w:left="46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SC XI LLC is the General Partner of each of SC XI and STP XI, and the Managing Member of SC XI PF. SCGF III LLC is the General Partner of each of SCGF III and SCGP III, and the Managing Member of SCG III PF.</w:t>
      </w:r>
    </w:p>
    <w:p>
      <w:pPr>
        <w:spacing w:after="0" w:line="3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3000 Sand Hill Road, 4-250</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Citizenship:</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 XI LLC, SC XI, STP XI, SC XI PF, SCGF III LLC, SCGF III, SCGP III, SCG III PF: Delaware</w:t>
      </w:r>
    </w:p>
    <w:p>
      <w:pPr>
        <w:spacing w:after="0" w:line="78"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697435105</w:t>
      </w:r>
    </w:p>
    <w:p>
      <w:pPr>
        <w:spacing w:after="0" w:line="2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If this statement is filed pursuant to Rules 13d-1(b) or 13d-2(b) or (c), check whether the person filing is a:</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 APPLICABLE</w:t>
      </w:r>
    </w:p>
    <w:p>
      <w:pPr>
        <w:spacing w:after="0" w:line="2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6"/>
          <w:szCs w:val="16"/>
          <w:color w:val="auto"/>
        </w:rPr>
        <w:t>Ownership</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ROWS 5 THROUGH 11 OF COVER PAGES</w:t>
      </w:r>
    </w:p>
    <w:p>
      <w:pPr>
        <w:sectPr>
          <w:pgSz w:w="11900" w:h="16838" w:orient="portrait"/>
          <w:cols w:equalWidth="0" w:num="1">
            <w:col w:w="11280"/>
          </w:cols>
          <w:pgMar w:left="240" w:top="422" w:right="379" w:bottom="1440" w:gutter="0" w:footer="0" w:header="0"/>
        </w:sectPr>
      </w:pPr>
    </w:p>
    <w:bookmarkStart w:id="10" w:name="page11"/>
    <w:bookmarkEnd w:id="10"/>
    <w:p>
      <w:pPr>
        <w:spacing w:after="0"/>
        <w:tabs>
          <w:tab w:leader="none" w:pos="5640" w:val="left"/>
          <w:tab w:leader="none" w:pos="8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11 of 15 Pages</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90" w:lineRule="exact"/>
        <w:rPr>
          <w:sz w:val="20"/>
          <w:szCs w:val="20"/>
          <w:color w:val="auto"/>
        </w:rPr>
      </w:pPr>
    </w:p>
    <w:p>
      <w:pPr>
        <w:ind w:left="460" w:right="60" w:firstLine="438"/>
        <w:spacing w:after="0" w:line="232"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3" w:lineRule="exact"/>
        <w:rPr>
          <w:sz w:val="20"/>
          <w:szCs w:val="20"/>
          <w:color w:val="auto"/>
        </w:rPr>
      </w:pPr>
    </w:p>
    <w:p>
      <w:pPr>
        <w:ind w:left="920" w:right="140" w:hanging="904"/>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of the Reporting Persons may be deemed to be a member of a “group” (within the meaning of Section 13(d)(3) of the Act) with SCGE Fund, L.P., SCGE Management, L.P., SCGE (LTGP), L.P., SCGE GenPar, Ltd. and Christopher Lyle (collectively, the “SCGE Entities”) with respect to the shares of Common Stock beneficially owned by the Reporting Persons. However, each of the Reporting Persons disclaims membership in any such group. The Reporting Persons have been advised that the SCGE Entities beneficially own 110,677 shares of Common Stock, or approximately 0.2% of the Company’s outstanding Common Stock. The SCGE Entities have filed a separate Schedule 13G with respect to the Common Stock.</w:t>
      </w:r>
    </w:p>
    <w:p>
      <w:pPr>
        <w:spacing w:after="0" w:line="26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422" w:right="239" w:bottom="1440" w:gutter="0" w:footer="0" w:header="0"/>
        </w:sectPr>
      </w:pPr>
    </w:p>
    <w:bookmarkStart w:id="11" w:name="page12"/>
    <w:bookmarkEnd w:id="11"/>
    <w:p>
      <w:pPr>
        <w:spacing w:after="0"/>
        <w:tabs>
          <w:tab w:leader="none" w:pos="5640" w:val="left"/>
          <w:tab w:leader="none" w:pos="8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12 of 15 Pages</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13, 2013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XI,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Technology Partners XI, L.P.</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SC XI Management, LLC</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General Partner of each</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XI Principals Fund LLC</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SC XI Management, LLC</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 XI Management, LLC</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Growth Fund III,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Growth Partners III, L.P.</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SCGF III Management,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General Partner of each</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Growth III Principals Fund LLC</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SCGF III Management,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Douglas Leone, Managing Member</w:t>
      </w:r>
    </w:p>
    <w:p>
      <w:pPr>
        <w:sectPr>
          <w:pgSz w:w="11900" w:h="16838" w:orient="portrait"/>
          <w:cols w:equalWidth="0" w:num="1">
            <w:col w:w="11240"/>
          </w:cols>
          <w:pgMar w:left="240" w:top="422" w:right="419" w:bottom="1440" w:gutter="0" w:footer="0" w:header="0"/>
        </w:sectPr>
      </w:pPr>
    </w:p>
    <w:bookmarkStart w:id="12" w:name="page13"/>
    <w:bookmarkEnd w:id="12"/>
    <w:p>
      <w:pPr>
        <w:spacing w:after="0"/>
        <w:tabs>
          <w:tab w:leader="none" w:pos="5640" w:val="left"/>
          <w:tab w:leader="none" w:pos="8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13 of 15 Pages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SCGF III Management, LLC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Leone, Managing Member</w:t>
      </w:r>
    </w:p>
    <w:p>
      <w:pPr>
        <w:sectPr>
          <w:pgSz w:w="11900" w:h="16838" w:orient="portrait"/>
          <w:cols w:equalWidth="0" w:num="1">
            <w:col w:w="10300"/>
          </w:cols>
          <w:pgMar w:left="240" w:top="422" w:right="1359" w:bottom="1440" w:gutter="0" w:footer="0" w:header="0"/>
        </w:sectPr>
      </w:pPr>
    </w:p>
    <w:bookmarkStart w:id="13" w:name="page14"/>
    <w:bookmarkEnd w:id="13"/>
    <w:p>
      <w:pPr>
        <w:spacing w:after="0"/>
        <w:tabs>
          <w:tab w:leader="none" w:pos="5640" w:val="left"/>
          <w:tab w:leader="none" w:pos="8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14 of 15 Pages</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EXHIBIT 1</w:t>
      </w:r>
    </w:p>
    <w:p>
      <w:pPr>
        <w:spacing w:after="0" w:line="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AGREEMENT AS TO JOINT FILING OF SCHEDULE 13G</w:t>
      </w:r>
    </w:p>
    <w:p>
      <w:pPr>
        <w:spacing w:after="0" w:line="15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undersigned hereby agree that the Schedule 13G relating to the common stock of Palo Alto Networks, Inc., and any further amendments thereto, to which this Agreement as to Joint Filing of Schedule 13G is attached as an exhibit is filed on behalf of each of them pursuant to and in accordance with the provisions of Rule 13d-1(k) under the Securities Exchange Act of 1934, as amended.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XI,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Technology Partners XI, L.P.</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SC XI Management, LLC</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Partner of each</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XI Principals Fund LLC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SC XI Management, LLC</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 XI Management, LLC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Growth Fund III,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Growth Partners III, L.P.</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SCGF III Management, LLC,</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Partner of each</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Leone, Managing Member</w:t>
      </w:r>
    </w:p>
    <w:p>
      <w:pPr>
        <w:sectPr>
          <w:pgSz w:w="11900" w:h="16838" w:orient="portrait"/>
          <w:cols w:equalWidth="0" w:num="1">
            <w:col w:w="11100"/>
          </w:cols>
          <w:pgMar w:left="240" w:top="422" w:right="559" w:bottom="1440" w:gutter="0" w:footer="0" w:header="0"/>
        </w:sectPr>
      </w:pPr>
    </w:p>
    <w:bookmarkStart w:id="14" w:name="page15"/>
    <w:bookmarkEnd w:id="14"/>
    <w:p>
      <w:pPr>
        <w:spacing w:after="0"/>
        <w:tabs>
          <w:tab w:leader="none" w:pos="5640" w:val="left"/>
          <w:tab w:leader="none" w:pos="8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697435105</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6"/>
          <w:szCs w:val="16"/>
          <w:color w:val="auto"/>
        </w:rPr>
        <w:t>Page 15 of 15 Pages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Growth III Principals Fund LLC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SCGF III Management, LLC,</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SCGF III Management, LLC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Leone, Managing Member</w:t>
      </w:r>
    </w:p>
    <w:sectPr>
      <w:pgSz w:w="11900" w:h="16838" w:orient="portrait"/>
      <w:cols w:equalWidth="0" w:num="1">
        <w:col w:w="10300"/>
      </w:cols>
      <w:pgMar w:left="240" w:top="422"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bullet"/>
      <w:start w:val="1"/>
    </w:lvl>
  </w:abstractNum>
  <w:abstractNum w:abstractNumId="3">
    <w:nsid w:val="257130A3"/>
    <w:multiLevelType w:val="hybridMultilevel"/>
    <w:lvl w:ilvl="0">
      <w:lvlJc w:val="left"/>
      <w:lvlText w:val="2"/>
      <w:numFmt w:val="bullet"/>
      <w:start w:val="1"/>
    </w:lvl>
  </w:abstractNum>
  <w:abstractNum w:abstractNumId="4">
    <w:nsid w:val="62BBD95A"/>
    <w:multiLevelType w:val="hybridMultilevel"/>
    <w:lvl w:ilvl="0">
      <w:lvlJc w:val="left"/>
      <w:lvlText w:val="3"/>
      <w:numFmt w:val="bullet"/>
      <w:start w:val="1"/>
    </w:lvl>
  </w:abstractNum>
  <w:abstractNum w:abstractNumId="5">
    <w:nsid w:val="436C6125"/>
    <w:multiLevelType w:val="hybridMultilevel"/>
    <w:lvl w:ilvl="0">
      <w:lvlJc w:val="left"/>
      <w:lvlText w:val="4"/>
      <w:numFmt w:val="bullet"/>
      <w:start w:val="1"/>
    </w:lvl>
  </w:abstractNum>
  <w:abstractNum w:abstractNumId="6">
    <w:nsid w:val="628C895D"/>
    <w:multiLevelType w:val="hybridMultilevel"/>
    <w:lvl w:ilvl="0">
      <w:lvlJc w:val="left"/>
      <w:lvlText w:val="9"/>
      <w:numFmt w:val="bullet"/>
      <w:start w:val="1"/>
    </w:lvl>
  </w:abstractNum>
  <w:abstractNum w:abstractNumId="7">
    <w:nsid w:val="333AB105"/>
    <w:multiLevelType w:val="hybridMultilevel"/>
    <w:lvl w:ilvl="0">
      <w:lvlJc w:val="left"/>
      <w:lvlText w:val="%1"/>
      <w:numFmt w:val="decimal"/>
      <w:start w:val="10"/>
    </w:lvl>
  </w:abstractNum>
  <w:abstractNum w:abstractNumId="8">
    <w:nsid w:val="721DA317"/>
    <w:multiLevelType w:val="hybridMultilevel"/>
    <w:lvl w:ilvl="0">
      <w:lvlJc w:val="left"/>
      <w:lvlText w:val="1"/>
      <w:numFmt w:val="bullet"/>
      <w:start w:val="1"/>
    </w:lvl>
  </w:abstractNum>
  <w:abstractNum w:abstractNumId="9">
    <w:nsid w:val="2443A858"/>
    <w:multiLevelType w:val="hybridMultilevel"/>
    <w:lvl w:ilvl="0">
      <w:lvlJc w:val="left"/>
      <w:lvlText w:val="2"/>
      <w:numFmt w:val="bullet"/>
      <w:start w:val="1"/>
    </w:lvl>
  </w:abstractNum>
  <w:abstractNum w:abstractNumId="10">
    <w:nsid w:val="2D1D5AE9"/>
    <w:multiLevelType w:val="hybridMultilevel"/>
    <w:lvl w:ilvl="0">
      <w:lvlJc w:val="left"/>
      <w:lvlText w:val="3"/>
      <w:numFmt w:val="bullet"/>
      <w:start w:val="1"/>
    </w:lvl>
  </w:abstractNum>
  <w:abstractNum w:abstractNumId="11">
    <w:nsid w:val="6763845E"/>
    <w:multiLevelType w:val="hybridMultilevel"/>
    <w:lvl w:ilvl="0">
      <w:lvlJc w:val="left"/>
      <w:lvlText w:val="4"/>
      <w:numFmt w:val="bullet"/>
      <w:start w:val="1"/>
    </w:lvl>
  </w:abstractNum>
  <w:abstractNum w:abstractNumId="12">
    <w:nsid w:val="75A2A8D4"/>
    <w:multiLevelType w:val="hybridMultilevel"/>
    <w:lvl w:ilvl="0">
      <w:lvlJc w:val="left"/>
      <w:lvlText w:val="9"/>
      <w:numFmt w:val="bullet"/>
      <w:start w:val="1"/>
    </w:lvl>
  </w:abstractNum>
  <w:abstractNum w:abstractNumId="13">
    <w:nsid w:val="8EDBDAB"/>
    <w:multiLevelType w:val="hybridMultilevel"/>
    <w:lvl w:ilvl="0">
      <w:lvlJc w:val="left"/>
      <w:lvlText w:val="%1"/>
      <w:numFmt w:val="decimal"/>
      <w:start w:val="10"/>
    </w:lvl>
  </w:abstractNum>
  <w:abstractNum w:abstractNumId="14">
    <w:nsid w:val="79838CB2"/>
    <w:multiLevelType w:val="hybridMultilevel"/>
    <w:lvl w:ilvl="0">
      <w:lvlJc w:val="left"/>
      <w:lvlText w:val="1"/>
      <w:numFmt w:val="bullet"/>
      <w:start w:val="1"/>
    </w:lvl>
  </w:abstractNum>
  <w:abstractNum w:abstractNumId="15">
    <w:nsid w:val="4353D0CD"/>
    <w:multiLevelType w:val="hybridMultilevel"/>
    <w:lvl w:ilvl="0">
      <w:lvlJc w:val="left"/>
      <w:lvlText w:val="2"/>
      <w:numFmt w:val="bullet"/>
      <w:start w:val="1"/>
    </w:lvl>
  </w:abstractNum>
  <w:abstractNum w:abstractNumId="16">
    <w:nsid w:val="B03E0C6"/>
    <w:multiLevelType w:val="hybridMultilevel"/>
    <w:lvl w:ilvl="0">
      <w:lvlJc w:val="left"/>
      <w:lvlText w:val="3"/>
      <w:numFmt w:val="bullet"/>
      <w:start w:val="1"/>
    </w:lvl>
  </w:abstractNum>
  <w:abstractNum w:abstractNumId="17">
    <w:nsid w:val="189A769B"/>
    <w:multiLevelType w:val="hybridMultilevel"/>
    <w:lvl w:ilvl="0">
      <w:lvlJc w:val="left"/>
      <w:lvlText w:val="4"/>
      <w:numFmt w:val="bullet"/>
      <w:start w:val="1"/>
    </w:lvl>
  </w:abstractNum>
  <w:abstractNum w:abstractNumId="18">
    <w:nsid w:val="54E49EB4"/>
    <w:multiLevelType w:val="hybridMultilevel"/>
    <w:lvl w:ilvl="0">
      <w:lvlJc w:val="left"/>
      <w:lvlText w:val="9"/>
      <w:numFmt w:val="bullet"/>
      <w:start w:val="1"/>
    </w:lvl>
  </w:abstractNum>
  <w:abstractNum w:abstractNumId="19">
    <w:nsid w:val="71F32454"/>
    <w:multiLevelType w:val="hybridMultilevel"/>
    <w:lvl w:ilvl="0">
      <w:lvlJc w:val="left"/>
      <w:lvlText w:val="%1"/>
      <w:numFmt w:val="decimal"/>
      <w:start w:val="10"/>
    </w:lvl>
  </w:abstractNum>
  <w:abstractNum w:abstractNumId="20">
    <w:nsid w:val="2CA88611"/>
    <w:multiLevelType w:val="hybridMultilevel"/>
    <w:lvl w:ilvl="0">
      <w:lvlJc w:val="left"/>
      <w:lvlText w:val="1"/>
      <w:numFmt w:val="bullet"/>
      <w:start w:val="1"/>
    </w:lvl>
  </w:abstractNum>
  <w:abstractNum w:abstractNumId="21">
    <w:nsid w:val="836C40E"/>
    <w:multiLevelType w:val="hybridMultilevel"/>
    <w:lvl w:ilvl="0">
      <w:lvlJc w:val="left"/>
      <w:lvlText w:val="2"/>
      <w:numFmt w:val="bullet"/>
      <w:start w:val="1"/>
    </w:lvl>
  </w:abstractNum>
  <w:abstractNum w:abstractNumId="22">
    <w:nsid w:val="2901D82"/>
    <w:multiLevelType w:val="hybridMultilevel"/>
    <w:lvl w:ilvl="0">
      <w:lvlJc w:val="left"/>
      <w:lvlText w:val="3"/>
      <w:numFmt w:val="bullet"/>
      <w:start w:val="1"/>
    </w:lvl>
  </w:abstractNum>
  <w:abstractNum w:abstractNumId="23">
    <w:nsid w:val="3A95F874"/>
    <w:multiLevelType w:val="hybridMultilevel"/>
    <w:lvl w:ilvl="0">
      <w:lvlJc w:val="left"/>
      <w:lvlText w:val="4"/>
      <w:numFmt w:val="bullet"/>
      <w:start w:val="1"/>
    </w:lvl>
  </w:abstractNum>
  <w:abstractNum w:abstractNumId="24">
    <w:nsid w:val="8138641"/>
    <w:multiLevelType w:val="hybridMultilevel"/>
    <w:lvl w:ilvl="0">
      <w:lvlJc w:val="left"/>
      <w:lvlText w:val="9"/>
      <w:numFmt w:val="bullet"/>
      <w:start w:val="1"/>
    </w:lvl>
  </w:abstractNum>
  <w:abstractNum w:abstractNumId="25">
    <w:nsid w:val="1E7FF521"/>
    <w:multiLevelType w:val="hybridMultilevel"/>
    <w:lvl w:ilvl="0">
      <w:lvlJc w:val="left"/>
      <w:lvlText w:val="%1"/>
      <w:numFmt w:val="decimal"/>
      <w:start w:val="10"/>
    </w:lvl>
  </w:abstractNum>
  <w:abstractNum w:abstractNumId="26">
    <w:nsid w:val="7C3DBD3D"/>
    <w:multiLevelType w:val="hybridMultilevel"/>
    <w:lvl w:ilvl="0">
      <w:lvlJc w:val="left"/>
      <w:lvlText w:val="1"/>
      <w:numFmt w:val="bullet"/>
      <w:start w:val="1"/>
    </w:lvl>
  </w:abstractNum>
  <w:abstractNum w:abstractNumId="27">
    <w:nsid w:val="737B8DDC"/>
    <w:multiLevelType w:val="hybridMultilevel"/>
    <w:lvl w:ilvl="0">
      <w:lvlJc w:val="left"/>
      <w:lvlText w:val="2"/>
      <w:numFmt w:val="bullet"/>
      <w:start w:val="1"/>
    </w:lvl>
  </w:abstractNum>
  <w:abstractNum w:abstractNumId="28">
    <w:nsid w:val="6CEAF087"/>
    <w:multiLevelType w:val="hybridMultilevel"/>
    <w:lvl w:ilvl="0">
      <w:lvlJc w:val="left"/>
      <w:lvlText w:val="3"/>
      <w:numFmt w:val="bullet"/>
      <w:start w:val="1"/>
    </w:lvl>
  </w:abstractNum>
  <w:abstractNum w:abstractNumId="29">
    <w:nsid w:val="22221A70"/>
    <w:multiLevelType w:val="hybridMultilevel"/>
    <w:lvl w:ilvl="0">
      <w:lvlJc w:val="left"/>
      <w:lvlText w:val="4"/>
      <w:numFmt w:val="bullet"/>
      <w:start w:val="1"/>
    </w:lvl>
  </w:abstractNum>
  <w:abstractNum w:abstractNumId="30">
    <w:nsid w:val="4516DDE9"/>
    <w:multiLevelType w:val="hybridMultilevel"/>
    <w:lvl w:ilvl="0">
      <w:lvlJc w:val="left"/>
      <w:lvlText w:val="9"/>
      <w:numFmt w:val="bullet"/>
      <w:start w:val="1"/>
    </w:lvl>
  </w:abstractNum>
  <w:abstractNum w:abstractNumId="31">
    <w:nsid w:val="3006C83E"/>
    <w:multiLevelType w:val="hybridMultilevel"/>
    <w:lvl w:ilvl="0">
      <w:lvlJc w:val="left"/>
      <w:lvlText w:val="%1"/>
      <w:numFmt w:val="decimal"/>
      <w:start w:val="10"/>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2019-12-07T10:07:08Z</dcterms:created>
  <dcterms:modified xsi:type="dcterms:W3CDTF">2019-12-07T10:07:08Z</dcterms:modified>
</cp:coreProperties>
</file>