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285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2853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GOETZ JAMES J</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Palo Alto Networks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PANW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SEQUOIA CAPITAL</w:t>
            </w:r>
          </w:p>
        </w:tc>
        <w:tc>
          <w:tcPr>
            <w:tcW w:w="148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1"/>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18"/>
                <w:szCs w:val="18"/>
                <w:color w:val="auto"/>
              </w:rPr>
            </w:pPr>
          </w:p>
        </w:tc>
        <w:tc>
          <w:tcPr>
            <w:tcW w:w="840" w:type="dxa"/>
            <w:vAlign w:val="bottom"/>
          </w:tcPr>
          <w:p>
            <w:pPr>
              <w:jc w:val="right"/>
              <w:ind w:right="185"/>
              <w:spacing w:after="0"/>
              <w:rPr>
                <w:sz w:val="20"/>
                <w:szCs w:val="20"/>
                <w:color w:val="auto"/>
              </w:rPr>
            </w:pPr>
            <w:r>
              <w:rPr>
                <w:rFonts w:ascii="Times New Roman" w:cs="Times New Roman" w:eastAsia="Times New Roman" w:hAnsi="Times New Roman"/>
                <w:sz w:val="17"/>
                <w:szCs w:val="17"/>
                <w:color w:val="0000FF"/>
              </w:rPr>
              <w:t>1,400</w:t>
            </w: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277.8856</w:t>
            </w:r>
            <w:r>
              <w:rPr>
                <w:rFonts w:ascii="Times New Roman" w:cs="Times New Roman" w:eastAsia="Times New Roman" w:hAnsi="Times New Roman"/>
                <w:sz w:val="22"/>
                <w:szCs w:val="22"/>
                <w:color w:val="008000"/>
                <w:vertAlign w:val="superscript"/>
              </w:rPr>
              <w:t>(1)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38,600</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18"/>
                <w:szCs w:val="18"/>
                <w:color w:val="auto"/>
              </w:rPr>
            </w:pPr>
          </w:p>
        </w:tc>
        <w:tc>
          <w:tcPr>
            <w:tcW w:w="840" w:type="dxa"/>
            <w:vAlign w:val="bottom"/>
          </w:tcPr>
          <w:p>
            <w:pPr>
              <w:jc w:val="right"/>
              <w:ind w:right="185"/>
              <w:spacing w:after="0"/>
              <w:rPr>
                <w:sz w:val="20"/>
                <w:szCs w:val="20"/>
                <w:color w:val="auto"/>
              </w:rPr>
            </w:pPr>
            <w:r>
              <w:rPr>
                <w:rFonts w:ascii="Times New Roman" w:cs="Times New Roman" w:eastAsia="Times New Roman" w:hAnsi="Times New Roman"/>
                <w:sz w:val="17"/>
                <w:szCs w:val="17"/>
                <w:color w:val="0000FF"/>
              </w:rPr>
              <w:t>4,800</w:t>
            </w: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278.8874</w:t>
            </w:r>
            <w:r>
              <w:rPr>
                <w:rFonts w:ascii="Times New Roman" w:cs="Times New Roman" w:eastAsia="Times New Roman" w:hAnsi="Times New Roman"/>
                <w:sz w:val="22"/>
                <w:szCs w:val="22"/>
                <w:color w:val="008000"/>
                <w:vertAlign w:val="superscript"/>
              </w:rPr>
              <w:t>(2)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33,800</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18"/>
                <w:szCs w:val="18"/>
                <w:color w:val="auto"/>
              </w:rPr>
            </w:pPr>
          </w:p>
        </w:tc>
        <w:tc>
          <w:tcPr>
            <w:tcW w:w="840" w:type="dxa"/>
            <w:vAlign w:val="bottom"/>
          </w:tcPr>
          <w:p>
            <w:pPr>
              <w:jc w:val="right"/>
              <w:ind w:right="185"/>
              <w:spacing w:after="0"/>
              <w:rPr>
                <w:sz w:val="20"/>
                <w:szCs w:val="20"/>
                <w:color w:val="auto"/>
              </w:rPr>
            </w:pPr>
            <w:r>
              <w:rPr>
                <w:rFonts w:ascii="Times New Roman" w:cs="Times New Roman" w:eastAsia="Times New Roman" w:hAnsi="Times New Roman"/>
                <w:sz w:val="17"/>
                <w:szCs w:val="17"/>
                <w:color w:val="0000FF"/>
              </w:rPr>
              <w:t>7,114</w:t>
            </w: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279.8804</w:t>
            </w:r>
            <w:r>
              <w:rPr>
                <w:rFonts w:ascii="Times New Roman" w:cs="Times New Roman" w:eastAsia="Times New Roman" w:hAnsi="Times New Roman"/>
                <w:sz w:val="22"/>
                <w:szCs w:val="22"/>
                <w:color w:val="008000"/>
                <w:vertAlign w:val="superscript"/>
              </w:rPr>
              <w:t>(3)</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26,686</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18"/>
                <w:szCs w:val="18"/>
                <w:color w:val="auto"/>
              </w:rPr>
            </w:pPr>
          </w:p>
        </w:tc>
        <w:tc>
          <w:tcPr>
            <w:tcW w:w="840" w:type="dxa"/>
            <w:vAlign w:val="bottom"/>
          </w:tcPr>
          <w:p>
            <w:pPr>
              <w:jc w:val="right"/>
              <w:ind w:right="185"/>
              <w:spacing w:after="0"/>
              <w:rPr>
                <w:sz w:val="20"/>
                <w:szCs w:val="20"/>
                <w:color w:val="auto"/>
              </w:rPr>
            </w:pPr>
            <w:r>
              <w:rPr>
                <w:rFonts w:ascii="Times New Roman" w:cs="Times New Roman" w:eastAsia="Times New Roman" w:hAnsi="Times New Roman"/>
                <w:sz w:val="17"/>
                <w:szCs w:val="17"/>
                <w:color w:val="0000FF"/>
              </w:rPr>
              <w:t>5,193</w:t>
            </w: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280.8876</w:t>
            </w:r>
            <w:r>
              <w:rPr>
                <w:rFonts w:ascii="Times New Roman" w:cs="Times New Roman" w:eastAsia="Times New Roman" w:hAnsi="Times New Roman"/>
                <w:sz w:val="22"/>
                <w:szCs w:val="22"/>
                <w:color w:val="008000"/>
                <w:vertAlign w:val="superscript"/>
              </w:rPr>
              <w:t>(4)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21,493</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82"/>
              </w:rPr>
              <w:t>S</w:t>
            </w:r>
          </w:p>
        </w:tc>
        <w:tc>
          <w:tcPr>
            <w:tcW w:w="520" w:type="dxa"/>
            <w:vAlign w:val="bottom"/>
          </w:tcPr>
          <w:p>
            <w:pPr>
              <w:spacing w:after="0"/>
              <w:rPr>
                <w:sz w:val="18"/>
                <w:szCs w:val="18"/>
                <w:color w:val="auto"/>
              </w:rPr>
            </w:pPr>
          </w:p>
        </w:tc>
        <w:tc>
          <w:tcPr>
            <w:tcW w:w="840" w:type="dxa"/>
            <w:vAlign w:val="bottom"/>
          </w:tcPr>
          <w:p>
            <w:pPr>
              <w:jc w:val="right"/>
              <w:ind w:right="185"/>
              <w:spacing w:after="0"/>
              <w:rPr>
                <w:sz w:val="20"/>
                <w:szCs w:val="20"/>
                <w:color w:val="auto"/>
              </w:rPr>
            </w:pPr>
            <w:r>
              <w:rPr>
                <w:rFonts w:ascii="Times New Roman" w:cs="Times New Roman" w:eastAsia="Times New Roman" w:hAnsi="Times New Roman"/>
                <w:sz w:val="17"/>
                <w:szCs w:val="17"/>
                <w:color w:val="0000FF"/>
              </w:rPr>
              <w:t>1,493</w:t>
            </w:r>
          </w:p>
        </w:tc>
        <w:tc>
          <w:tcPr>
            <w:tcW w:w="460" w:type="dxa"/>
            <w:vAlign w:val="bottom"/>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281.6429</w:t>
            </w:r>
            <w:r>
              <w:rPr>
                <w:rFonts w:ascii="Times New Roman" w:cs="Times New Roman" w:eastAsia="Times New Roman" w:hAnsi="Times New Roman"/>
                <w:sz w:val="22"/>
                <w:szCs w:val="22"/>
                <w:color w:val="008000"/>
                <w:vertAlign w:val="superscript"/>
              </w:rPr>
              <w:t>(5)</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20,000</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314,580</w:t>
            </w:r>
          </w:p>
        </w:tc>
        <w:tc>
          <w:tcPr>
            <w:tcW w:w="920" w:type="dxa"/>
            <w:vAlign w:val="bottom"/>
            <w:tcBorders>
              <w:top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$277.40 to $278.38,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(2), (3),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weighted average price. These shares were sold in multiple transactions at prices ranging from $278.40 to $279.28,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weighted average price. These shares were sold in multiple transactions at prices ranging from $279.40 to $280.39,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weighted average price. These shares were sold in multiple transactions at prices ranging from $280.415 to $281.41,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weighted average price. These shares were sold in multiple transactions at prices ranging from $281.42 to $281.85, inclusive.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Reporting Person's family trust. The Reporting Person may be deemed to beneficially own the shares held by his family trust.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or for any other purpose.</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Jung Yeon Son, by power</w:t>
            </w:r>
          </w:p>
        </w:tc>
        <w:tc>
          <w:tcPr>
            <w:tcW w:w="1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06/16/2026</w:t>
            </w:r>
          </w:p>
        </w:tc>
      </w:tr>
      <w:tr>
        <w:trPr>
          <w:trHeight w:val="193"/>
        </w:trPr>
        <w:tc>
          <w:tcPr>
            <w:tcW w:w="214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of attorney for James J. Goetz</w:t>
            </w: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9231" TargetMode="External"/><Relationship Id="rId14"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2026-06-16T15:50:43Z</dcterms:created>
  <dcterms:modified xsi:type="dcterms:W3CDTF">2026-06-16T15:50:43Z</dcterms:modified>
</cp:coreProperties>
</file>