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0001468233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Palo Alto Networks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001-35594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408-753-4000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Nikesh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467"/>
        <w:gridCol w:w="1135"/>
        <w:gridCol w:w="1657"/>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65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Wells Fargo Securities, LLC</w:t>
              <w:br/>
              <w:t>30 Hudson Yards, 14th Floor</w:t>
              <w:br/>
              <w:t>New York   NY   10001-2170</w:t>
            </w:r>
          </w:p>
        </w:tc>
        <w:tc>
          <w:tcPr>
            <w:tcW w:w="1135" w:type="dxa"/>
            <w:tcBorders/>
            <w:vAlign w:val="center"/>
          </w:tcPr>
          <w:p>
            <w:pPr>
              <w:pStyle w:val="TableContents"/>
              <w:bidi w:val="0"/>
              <w:spacing w:before="0" w:after="283"/>
              <w:jc w:val="left"/>
              <w:rPr/>
            </w:pPr>
            <w:r>
              <w:rPr/>
              <w:t>500000</w:t>
            </w:r>
          </w:p>
        </w:tc>
        <w:tc>
          <w:tcPr>
            <w:tcW w:w="1657" w:type="dxa"/>
            <w:tcBorders/>
            <w:vAlign w:val="center"/>
          </w:tcPr>
          <w:p>
            <w:pPr>
              <w:pStyle w:val="TableContents"/>
              <w:bidi w:val="0"/>
              <w:spacing w:before="0" w:after="283"/>
              <w:jc w:val="left"/>
              <w:rPr/>
            </w:pPr>
            <w:r>
              <w:rPr/>
              <w:t>201400000.00</w:t>
            </w:r>
          </w:p>
        </w:tc>
        <w:tc>
          <w:tcPr>
            <w:tcW w:w="1522" w:type="dxa"/>
            <w:tcBorders/>
            <w:vAlign w:val="center"/>
          </w:tcPr>
          <w:p>
            <w:pPr>
              <w:pStyle w:val="TableContents"/>
              <w:bidi w:val="0"/>
              <w:spacing w:before="0" w:after="283"/>
              <w:jc w:val="left"/>
              <w:rPr/>
            </w:pPr>
            <w:r>
              <w:rPr/>
              <w:t>818000000</w:t>
            </w:r>
          </w:p>
        </w:tc>
        <w:tc>
          <w:tcPr>
            <w:tcW w:w="1549" w:type="dxa"/>
            <w:tcBorders/>
            <w:vAlign w:val="center"/>
          </w:tcPr>
          <w:p>
            <w:pPr>
              <w:pStyle w:val="TableContents"/>
              <w:bidi w:val="0"/>
              <w:spacing w:before="0" w:after="283"/>
              <w:jc w:val="left"/>
              <w:rPr/>
            </w:pPr>
            <w:r>
              <w:rPr/>
              <w:t>10/12/2026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3"/>
        <w:gridCol w:w="1103"/>
        <w:gridCol w:w="1502"/>
        <w:gridCol w:w="1133"/>
        <w:gridCol w:w="514"/>
        <w:gridCol w:w="1103"/>
        <w:gridCol w:w="1138"/>
        <w:gridCol w:w="1043"/>
        <w:gridCol w:w="1596"/>
      </w:tblGrid>
      <w:tr>
        <w:trPr/>
        <w:tc>
          <w:tcPr>
            <w:tcW w:w="1073"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502" w:type="dxa"/>
            <w:tcBorders/>
            <w:vAlign w:val="center"/>
          </w:tcPr>
          <w:p>
            <w:pPr>
              <w:pStyle w:val="TableHeading"/>
              <w:suppressLineNumbers/>
              <w:bidi w:val="0"/>
              <w:spacing w:before="0" w:after="283"/>
              <w:jc w:val="center"/>
              <w:rPr/>
            </w:pPr>
            <w:r>
              <w:rPr/>
              <w:t>Nature of Acquisition Transaction</w:t>
            </w:r>
          </w:p>
        </w:tc>
        <w:tc>
          <w:tcPr>
            <w:tcW w:w="1133"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38"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59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06/07/2018</w:t>
            </w:r>
          </w:p>
        </w:tc>
        <w:tc>
          <w:tcPr>
            <w:tcW w:w="1502" w:type="dxa"/>
            <w:tcBorders/>
            <w:vAlign w:val="center"/>
          </w:tcPr>
          <w:p>
            <w:pPr>
              <w:pStyle w:val="TableContents"/>
              <w:bidi w:val="0"/>
              <w:spacing w:before="0" w:after="283"/>
              <w:jc w:val="left"/>
              <w:rPr/>
            </w:pPr>
            <w:r>
              <w:rPr/>
              <w:t>Open market purchase pursuant to the terms set forth in the offer letter by and between the Issuer and the Reporting Person, dated 5/30/2018, that was filed as Exhibit 10.2 to the Current Report on Form 8-K filed by the Issuer with the SEC on 6/4/2018.</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98520</w:t>
            </w:r>
          </w:p>
        </w:tc>
        <w:tc>
          <w:tcPr>
            <w:tcW w:w="1043" w:type="dxa"/>
            <w:tcBorders/>
            <w:vAlign w:val="center"/>
          </w:tcPr>
          <w:p>
            <w:pPr>
              <w:pStyle w:val="TableContents"/>
              <w:bidi w:val="0"/>
              <w:spacing w:before="0" w:after="283"/>
              <w:jc w:val="left"/>
              <w:rPr/>
            </w:pPr>
            <w:r>
              <w:rPr/>
              <w:t>06/07/2018</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06/08/2018</w:t>
            </w:r>
          </w:p>
        </w:tc>
        <w:tc>
          <w:tcPr>
            <w:tcW w:w="1502" w:type="dxa"/>
            <w:tcBorders/>
            <w:vAlign w:val="center"/>
          </w:tcPr>
          <w:p>
            <w:pPr>
              <w:pStyle w:val="TableContents"/>
              <w:bidi w:val="0"/>
              <w:spacing w:before="0" w:after="283"/>
              <w:jc w:val="left"/>
              <w:rPr/>
            </w:pPr>
            <w:r>
              <w:rPr/>
              <w:t>Open market purchase pursuant to the terms set forth in the offer letter by and between the Issuer and the Reporting Person, dated 5/30/2018, that was filed as Exhibit 10.2 to the Current Report on Form 8-K filed by the Issuer with the SEC on 6/4/2018.</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87495</w:t>
            </w:r>
          </w:p>
        </w:tc>
        <w:tc>
          <w:tcPr>
            <w:tcW w:w="1043" w:type="dxa"/>
            <w:tcBorders/>
            <w:vAlign w:val="center"/>
          </w:tcPr>
          <w:p>
            <w:pPr>
              <w:pStyle w:val="TableContents"/>
              <w:bidi w:val="0"/>
              <w:spacing w:before="0" w:after="283"/>
              <w:jc w:val="left"/>
              <w:rPr/>
            </w:pPr>
            <w:r>
              <w:rPr/>
              <w:t>06/08/2018</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06/13/2018</w:t>
            </w:r>
          </w:p>
        </w:tc>
        <w:tc>
          <w:tcPr>
            <w:tcW w:w="1502" w:type="dxa"/>
            <w:tcBorders/>
            <w:vAlign w:val="center"/>
          </w:tcPr>
          <w:p>
            <w:pPr>
              <w:pStyle w:val="TableContents"/>
              <w:bidi w:val="0"/>
              <w:spacing w:before="0" w:after="283"/>
              <w:jc w:val="left"/>
              <w:rPr/>
            </w:pPr>
            <w:r>
              <w:rPr/>
              <w:t>Open market purchase pursuant to the terms set forth in the offer letter by and between the Issuer and the Reporting Person, dated 5/30/2018, that was filed as Exhibit 10.2 to the Current Report on Form 8-K filed by the Issuer with the SEC on 6/4/2018.</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94500</w:t>
            </w:r>
          </w:p>
        </w:tc>
        <w:tc>
          <w:tcPr>
            <w:tcW w:w="1043" w:type="dxa"/>
            <w:tcBorders/>
            <w:vAlign w:val="center"/>
          </w:tcPr>
          <w:p>
            <w:pPr>
              <w:pStyle w:val="TableContents"/>
              <w:bidi w:val="0"/>
              <w:spacing w:before="0" w:after="283"/>
              <w:jc w:val="left"/>
              <w:rPr/>
            </w:pPr>
            <w:r>
              <w:rPr/>
              <w:t>06/13/2018</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06/15/2018</w:t>
            </w:r>
          </w:p>
        </w:tc>
        <w:tc>
          <w:tcPr>
            <w:tcW w:w="1502" w:type="dxa"/>
            <w:tcBorders/>
            <w:vAlign w:val="center"/>
          </w:tcPr>
          <w:p>
            <w:pPr>
              <w:pStyle w:val="TableContents"/>
              <w:bidi w:val="0"/>
              <w:spacing w:before="0" w:after="283"/>
              <w:jc w:val="left"/>
              <w:rPr/>
            </w:pPr>
            <w:r>
              <w:rPr/>
              <w:t>Open market purchase pursuant to the terms set forth in the offer letter by and between the Issuer and the Reporting Person, dated 5/30/2018, that was filed as Exhibit 10.2 to the Current Report on Form 8-K filed by the Issuer with the SEC on 6/4/2018.</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9739</w:t>
            </w:r>
          </w:p>
        </w:tc>
        <w:tc>
          <w:tcPr>
            <w:tcW w:w="1043" w:type="dxa"/>
            <w:tcBorders/>
            <w:vAlign w:val="center"/>
          </w:tcPr>
          <w:p>
            <w:pPr>
              <w:pStyle w:val="TableContents"/>
              <w:bidi w:val="0"/>
              <w:spacing w:before="0" w:after="283"/>
              <w:jc w:val="left"/>
              <w:rPr/>
            </w:pPr>
            <w:r>
              <w:rPr/>
              <w:t>06/15/2018</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06/07/2022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21456</w:t>
            </w:r>
          </w:p>
        </w:tc>
        <w:tc>
          <w:tcPr>
            <w:tcW w:w="1043" w:type="dxa"/>
            <w:tcBorders/>
            <w:vAlign w:val="center"/>
          </w:tcPr>
          <w:p>
            <w:pPr>
              <w:pStyle w:val="TableContents"/>
              <w:bidi w:val="0"/>
              <w:spacing w:before="0" w:after="283"/>
              <w:jc w:val="left"/>
              <w:rPr/>
            </w:pPr>
            <w:r>
              <w:rPr/>
              <w:t>06/07/2022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06/07/2022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12240</w:t>
            </w:r>
          </w:p>
        </w:tc>
        <w:tc>
          <w:tcPr>
            <w:tcW w:w="1043" w:type="dxa"/>
            <w:tcBorders/>
            <w:vAlign w:val="center"/>
          </w:tcPr>
          <w:p>
            <w:pPr>
              <w:pStyle w:val="TableContents"/>
              <w:bidi w:val="0"/>
              <w:spacing w:before="0" w:after="283"/>
              <w:jc w:val="left"/>
              <w:rPr/>
            </w:pPr>
            <w:r>
              <w:rPr/>
              <w:t>06/07/2022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06/18/2022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18084</w:t>
            </w:r>
          </w:p>
        </w:tc>
        <w:tc>
          <w:tcPr>
            <w:tcW w:w="1043" w:type="dxa"/>
            <w:tcBorders/>
            <w:vAlign w:val="center"/>
          </w:tcPr>
          <w:p>
            <w:pPr>
              <w:pStyle w:val="TableContents"/>
              <w:bidi w:val="0"/>
              <w:spacing w:before="0" w:after="283"/>
              <w:jc w:val="left"/>
              <w:rPr/>
            </w:pPr>
            <w:r>
              <w:rPr/>
              <w:t>06/18/2022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07/20/2022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19296</w:t>
            </w:r>
          </w:p>
        </w:tc>
        <w:tc>
          <w:tcPr>
            <w:tcW w:w="1043" w:type="dxa"/>
            <w:tcBorders/>
            <w:vAlign w:val="center"/>
          </w:tcPr>
          <w:p>
            <w:pPr>
              <w:pStyle w:val="TableContents"/>
              <w:bidi w:val="0"/>
              <w:spacing w:before="0" w:after="283"/>
              <w:jc w:val="left"/>
              <w:rPr/>
            </w:pPr>
            <w:r>
              <w:rPr/>
              <w:t>07/20/2022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09/07/2022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7152</w:t>
            </w:r>
          </w:p>
        </w:tc>
        <w:tc>
          <w:tcPr>
            <w:tcW w:w="1043" w:type="dxa"/>
            <w:tcBorders/>
            <w:vAlign w:val="center"/>
          </w:tcPr>
          <w:p>
            <w:pPr>
              <w:pStyle w:val="TableContents"/>
              <w:bidi w:val="0"/>
              <w:spacing w:before="0" w:after="283"/>
              <w:jc w:val="left"/>
              <w:rPr/>
            </w:pPr>
            <w:r>
              <w:rPr/>
              <w:t>09/07/2022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09/07/2022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14304</w:t>
            </w:r>
          </w:p>
        </w:tc>
        <w:tc>
          <w:tcPr>
            <w:tcW w:w="1043" w:type="dxa"/>
            <w:tcBorders/>
            <w:vAlign w:val="center"/>
          </w:tcPr>
          <w:p>
            <w:pPr>
              <w:pStyle w:val="TableContents"/>
              <w:bidi w:val="0"/>
              <w:spacing w:before="0" w:after="283"/>
              <w:jc w:val="left"/>
              <w:rPr/>
            </w:pPr>
            <w:r>
              <w:rPr/>
              <w:t>09/07/2022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10/20/2022</w:t>
            </w:r>
          </w:p>
        </w:tc>
        <w:tc>
          <w:tcPr>
            <w:tcW w:w="1502" w:type="dxa"/>
            <w:tcBorders/>
            <w:vAlign w:val="center"/>
          </w:tcPr>
          <w:p>
            <w:pPr>
              <w:pStyle w:val="TableContents"/>
              <w:bidi w:val="0"/>
              <w:spacing w:before="0" w:after="283"/>
              <w:jc w:val="left"/>
              <w:rPr/>
            </w:pPr>
            <w:r>
              <w:rPr/>
              <w:t>Vested RSU Shares</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48964</w:t>
            </w:r>
          </w:p>
        </w:tc>
        <w:tc>
          <w:tcPr>
            <w:tcW w:w="1043" w:type="dxa"/>
            <w:tcBorders/>
            <w:vAlign w:val="center"/>
          </w:tcPr>
          <w:p>
            <w:pPr>
              <w:pStyle w:val="TableContents"/>
              <w:bidi w:val="0"/>
              <w:spacing w:before="0" w:after="283"/>
              <w:jc w:val="left"/>
              <w:rPr/>
            </w:pPr>
            <w:r>
              <w:rPr/>
              <w:t>10/20/2022</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02/12/2026</w:t>
            </w:r>
          </w:p>
        </w:tc>
        <w:tc>
          <w:tcPr>
            <w:tcW w:w="1502" w:type="dxa"/>
            <w:tcBorders/>
            <w:vAlign w:val="center"/>
          </w:tcPr>
          <w:p>
            <w:pPr>
              <w:pStyle w:val="TableContents"/>
              <w:bidi w:val="0"/>
              <w:spacing w:before="0" w:after="283"/>
              <w:jc w:val="left"/>
              <w:rPr/>
            </w:pPr>
            <w:r>
              <w:rPr/>
              <w:t>Consideration from CyberArk acquisition</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165</w:t>
            </w:r>
          </w:p>
        </w:tc>
        <w:tc>
          <w:tcPr>
            <w:tcW w:w="1043" w:type="dxa"/>
            <w:tcBorders/>
            <w:vAlign w:val="center"/>
          </w:tcPr>
          <w:p>
            <w:pPr>
              <w:pStyle w:val="TableContents"/>
              <w:bidi w:val="0"/>
              <w:spacing w:before="0" w:after="283"/>
              <w:jc w:val="left"/>
              <w:rPr/>
            </w:pPr>
            <w:r>
              <w:rPr/>
              <w:t>02/12/2026</w:t>
            </w:r>
          </w:p>
        </w:tc>
        <w:tc>
          <w:tcPr>
            <w:tcW w:w="1596" w:type="dxa"/>
            <w:tcBorders/>
            <w:vAlign w:val="center"/>
          </w:tcPr>
          <w:p>
            <w:pPr>
              <w:pStyle w:val="TableContents"/>
              <w:bidi w:val="0"/>
              <w:spacing w:before="0" w:after="283"/>
              <w:jc w:val="left"/>
              <w:rPr/>
            </w:pPr>
            <w:r>
              <w:rPr/>
              <w:t>Compensation and/or cash payment</w:t>
            </w:r>
          </w:p>
        </w:tc>
      </w:tr>
      <w:tr>
        <w:trPr/>
        <w:tc>
          <w:tcPr>
            <w:tcW w:w="1073" w:type="dxa"/>
            <w:tcBorders/>
            <w:vAlign w:val="center"/>
          </w:tcPr>
          <w:p>
            <w:pPr>
              <w:pStyle w:val="TableContents"/>
              <w:bidi w:val="0"/>
              <w:spacing w:before="0" w:after="283"/>
              <w:jc w:val="left"/>
              <w:rPr/>
            </w:pPr>
            <w:r>
              <w:rPr/>
              <w:t>Common Stock</w:t>
            </w:r>
          </w:p>
        </w:tc>
        <w:tc>
          <w:tcPr>
            <w:tcW w:w="1103" w:type="dxa"/>
            <w:tcBorders/>
            <w:vAlign w:val="center"/>
          </w:tcPr>
          <w:p>
            <w:pPr>
              <w:pStyle w:val="TableContents"/>
              <w:bidi w:val="0"/>
              <w:spacing w:before="0" w:after="283"/>
              <w:jc w:val="left"/>
              <w:rPr/>
            </w:pPr>
            <w:r>
              <w:rPr/>
              <w:t>03/27/2026</w:t>
            </w:r>
          </w:p>
        </w:tc>
        <w:tc>
          <w:tcPr>
            <w:tcW w:w="1502" w:type="dxa"/>
            <w:tcBorders/>
            <w:vAlign w:val="center"/>
          </w:tcPr>
          <w:p>
            <w:pPr>
              <w:pStyle w:val="TableContents"/>
              <w:bidi w:val="0"/>
              <w:spacing w:before="0" w:after="283"/>
              <w:jc w:val="left"/>
              <w:rPr/>
            </w:pPr>
            <w:r>
              <w:rPr/>
              <w:t>Open market purchase</w:t>
            </w:r>
          </w:p>
        </w:tc>
        <w:tc>
          <w:tcPr>
            <w:tcW w:w="1133"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68085</w:t>
            </w:r>
          </w:p>
        </w:tc>
        <w:tc>
          <w:tcPr>
            <w:tcW w:w="1043" w:type="dxa"/>
            <w:tcBorders/>
            <w:vAlign w:val="center"/>
          </w:tcPr>
          <w:p>
            <w:pPr>
              <w:pStyle w:val="TableContents"/>
              <w:bidi w:val="0"/>
              <w:spacing w:before="0" w:after="283"/>
              <w:jc w:val="left"/>
              <w:rPr/>
            </w:pPr>
            <w:r>
              <w:rPr/>
              <w:t>03/27/2026</w:t>
            </w:r>
          </w:p>
        </w:tc>
        <w:tc>
          <w:tcPr>
            <w:tcW w:w="1596" w:type="dxa"/>
            <w:tcBorders/>
            <w:vAlign w:val="center"/>
          </w:tcPr>
          <w:p>
            <w:pPr>
              <w:pStyle w:val="TableContents"/>
              <w:bidi w:val="0"/>
              <w:spacing w:before="0" w:after="283"/>
              <w:jc w:val="left"/>
              <w:rPr/>
            </w:pPr>
            <w:r>
              <w:rPr/>
              <w:t>Compensation and/or cash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62"/>
        <w:gridCol w:w="9143"/>
      </w:tblGrid>
      <w:tr>
        <w:trPr/>
        <w:tc>
          <w:tcPr>
            <w:tcW w:w="1062" w:type="dxa"/>
            <w:tcBorders/>
            <w:vAlign w:val="center"/>
          </w:tcPr>
          <w:p>
            <w:pPr>
              <w:pStyle w:val="TableContents"/>
              <w:bidi w:val="0"/>
              <w:spacing w:before="0" w:after="283"/>
              <w:jc w:val="left"/>
              <w:rPr/>
            </w:pPr>
            <w:r>
              <w:rPr/>
              <w:t>Remarks</w:t>
            </w:r>
          </w:p>
        </w:tc>
        <w:tc>
          <w:tcPr>
            <w:tcW w:w="9143" w:type="dxa"/>
            <w:tcBorders/>
            <w:vAlign w:val="center"/>
          </w:tcPr>
          <w:p>
            <w:pPr>
              <w:pStyle w:val="TableContents"/>
              <w:bidi w:val="0"/>
              <w:spacing w:before="0" w:after="0"/>
              <w:jc w:val="left"/>
              <w:rPr/>
            </w:pPr>
            <w:r>
              <w:rPr/>
              <w:t>In accordance with the procedures described in the SEC's interpretive letters dated December 20, 1999 and December 1, 2011, Arora Trust entered into a variable prepaid forward contract (the "Contract") with an unaffiliated dealer, secured by 500,000 shares (the "Pledged Shares") of common stock of Palo Alto Networks, Inc. (the "Issuer"). The actual number of shares to be delivered by Arora Trust under the Contract will be determined based on the price of the Issuer's common stock at settlement relative to an agreed forward floor price and forward cap price, not to exceed the number of the Pledged Shares. Subject to certain conditions, Arora Trust can also elect to settle the Contract in cash. Any initial hedging activity in connection with the Contract will be conducted by the broker-dealer named above. Sales executed on October 12, 2026 are being reported on October 13, 2026 given the EDGAR system was not accepting filings on October 12, 2026 in observance of the federal holiday.</w:t>
            </w:r>
          </w:p>
        </w:tc>
      </w:tr>
      <w:tr>
        <w:trPr/>
        <w:tc>
          <w:tcPr>
            <w:tcW w:w="1062" w:type="dxa"/>
            <w:tcBorders/>
            <w:vAlign w:val="center"/>
          </w:tcPr>
          <w:p>
            <w:pPr>
              <w:pStyle w:val="TableContents"/>
              <w:bidi w:val="0"/>
              <w:spacing w:before="0" w:after="283"/>
              <w:jc w:val="left"/>
              <w:rPr/>
            </w:pPr>
            <w:r>
              <w:rPr/>
              <w:t>Date of Notice</w:t>
            </w:r>
          </w:p>
        </w:tc>
        <w:tc>
          <w:tcPr>
            <w:tcW w:w="9143"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2" w:type="dxa"/>
            <w:tcBorders/>
            <w:vAlign w:val="center"/>
          </w:tcPr>
          <w:p>
            <w:pPr>
              <w:pStyle w:val="TableContents"/>
              <w:bidi w:val="0"/>
              <w:spacing w:before="0" w:after="283"/>
              <w:jc w:val="left"/>
              <w:rPr/>
            </w:pPr>
            <w:r>
              <w:rPr/>
              <w:t>Signature</w:t>
            </w:r>
          </w:p>
        </w:tc>
        <w:tc>
          <w:tcPr>
            <w:tcW w:w="9143" w:type="dxa"/>
            <w:tcBorders/>
            <w:vAlign w:val="center"/>
          </w:tcPr>
          <w:p>
            <w:pPr>
              <w:pStyle w:val="TableContents"/>
              <w:bidi w:val="0"/>
              <w:spacing w:before="0" w:after="0"/>
              <w:jc w:val="left"/>
              <w:rPr/>
            </w:pPr>
            <w:r>
              <w:rPr/>
              <w:t>Nikesh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1067</Words>
  <Characters>5560</Characters>
  <CharactersWithSpaces>6488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