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0001327567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Palo Alto Networks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Palo Alto Networks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232 EAST JAVA DRIVE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1040" w:firstLine="41"/>
        <w:spacing w:after="0" w:line="471" w:lineRule="auto"/>
        <w:rPr>
          <w:sz w:val="20"/>
          <w:szCs w:val="20"/>
          <w:color w:val="auto"/>
        </w:rPr>
      </w:pPr>
      <w:r>
        <w:rPr>
          <w:rFonts w:ascii="Arial" w:cs="Arial" w:eastAsia="Arial" w:hAnsi="Arial"/>
          <w:sz w:val="22"/>
          <w:szCs w:val="22"/>
          <w:color w:val="auto"/>
        </w:rPr>
        <w:t>SUNNYVALE CALIFORNIA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94089</w:t>
      </w:r>
      <w:r>
        <w:rPr>
          <w:sz w:val="20"/>
          <w:szCs w:val="20"/>
          <w:color w:val="auto"/>
        </w:rPr>
        <w:tab/>
      </w:r>
      <w:r>
        <w:rPr>
          <w:rFonts w:ascii="Arial" w:cs="Arial" w:eastAsia="Arial" w:hAnsi="Arial"/>
          <w:sz w:val="22"/>
          <w:szCs w:val="22"/>
          <w:color w:val="auto"/>
        </w:rPr>
        <w:t>408-738-7700</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Zuk</w:t>
            </w:r>
          </w:p>
        </w:tc>
        <w:tc>
          <w:tcPr>
            <w:tcW w:w="1240" w:type="dxa"/>
            <w:vAlign w:val="bottom"/>
          </w:tcPr>
          <w:p>
            <w:pPr>
              <w:ind w:left="480"/>
              <w:spacing w:after="0"/>
              <w:rPr>
                <w:sz w:val="20"/>
                <w:szCs w:val="20"/>
                <w:color w:val="auto"/>
              </w:rPr>
            </w:pPr>
            <w:r>
              <w:rPr>
                <w:rFonts w:ascii="Arial" w:cs="Arial" w:eastAsia="Arial" w:hAnsi="Arial"/>
                <w:sz w:val="22"/>
                <w:szCs w:val="22"/>
                <w:color w:val="auto"/>
              </w:rPr>
              <w:t>Nir</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c/o Palo Alto Networks, Inc.</w:t>
            </w: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232 East Java Dr.</w:t>
            </w:r>
          </w:p>
        </w:tc>
        <w:tc>
          <w:tcPr>
            <w:tcW w:w="4880" w:type="dxa"/>
            <w:vAlign w:val="bottom"/>
          </w:tcPr>
          <w:p>
            <w:pPr>
              <w:spacing w:after="0"/>
              <w:rPr>
                <w:sz w:val="24"/>
                <w:szCs w:val="24"/>
                <w:color w:val="auto"/>
              </w:rPr>
            </w:pP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96"/>
              </w:rPr>
              <w:t>City</w:t>
            </w:r>
          </w:p>
        </w:tc>
        <w:tc>
          <w:tcPr>
            <w:tcW w:w="356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Sunnyvale</w:t>
            </w: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94089</w:t>
            </w: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20" w:type="dxa"/>
            <w:vAlign w:val="bottom"/>
          </w:tcPr>
          <w:p>
            <w:pPr>
              <w:ind w:left="10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Chandna</w:t>
            </w:r>
          </w:p>
        </w:tc>
        <w:tc>
          <w:tcPr>
            <w:tcW w:w="1240" w:type="dxa"/>
            <w:vAlign w:val="bottom"/>
          </w:tcPr>
          <w:p>
            <w:pPr>
              <w:ind w:left="480"/>
              <w:spacing w:after="0"/>
              <w:rPr>
                <w:sz w:val="20"/>
                <w:szCs w:val="20"/>
                <w:color w:val="auto"/>
              </w:rPr>
            </w:pPr>
            <w:r>
              <w:rPr>
                <w:rFonts w:ascii="Arial" w:cs="Arial" w:eastAsia="Arial" w:hAnsi="Arial"/>
                <w:sz w:val="22"/>
                <w:szCs w:val="22"/>
                <w:color w:val="auto"/>
                <w:w w:val="91"/>
              </w:rPr>
              <w:t>Asheem</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c/o Greylock Partners</w:t>
            </w: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2550 Sand Hill Road</w:t>
            </w:r>
          </w:p>
        </w:tc>
        <w:tc>
          <w:tcPr>
            <w:tcW w:w="4880" w:type="dxa"/>
            <w:vAlign w:val="bottom"/>
          </w:tcPr>
          <w:p>
            <w:pPr>
              <w:spacing w:after="0"/>
              <w:rPr>
                <w:sz w:val="24"/>
                <w:szCs w:val="24"/>
                <w:color w:val="auto"/>
              </w:rPr>
            </w:pP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96"/>
              </w:rPr>
              <w:t>City</w:t>
            </w:r>
          </w:p>
        </w:tc>
        <w:tc>
          <w:tcPr>
            <w:tcW w:w="356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94025</w:t>
            </w: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Goetz</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Jim</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Sequoia Capital</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3000 Sand Hill Road, 4-250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Kramer</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Shlomo</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Palo Alto Networks,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232 East Java Drive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Sunnyvale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Lanfri</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Bill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Palo Alto Networks,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232 East Java Drive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Sunnyvale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Ganesan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1"/>
              </w:rPr>
              <w:t>Venky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Globespan Capital Partners</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300 Hamilton Ave.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Lehman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4880" w:type="dxa"/>
            <w:vAlign w:val="bottom"/>
          </w:tcPr>
          <w:p>
            <w:pPr>
              <w:ind w:left="320"/>
              <w:spacing w:after="0"/>
              <w:rPr>
                <w:sz w:val="20"/>
                <w:szCs w:val="20"/>
                <w:color w:val="auto"/>
              </w:rPr>
            </w:pPr>
            <w:r>
              <w:rPr>
                <w:rFonts w:ascii="Arial" w:cs="Arial" w:eastAsia="Arial" w:hAnsi="Arial"/>
                <w:sz w:val="22"/>
                <w:szCs w:val="22"/>
                <w:color w:val="auto"/>
              </w:rPr>
              <w:t>E.</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Palo Alto Networks,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232 East Java Drive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Sunnyvale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94089</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Batra</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Rajiv</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Palo Alto Networks,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232 East Java Drive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Sunnyvale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True</w:t>
            </w:r>
          </w:p>
        </w:tc>
        <w:tc>
          <w:tcPr>
            <w:tcW w:w="840" w:type="dxa"/>
            <w:vAlign w:val="bottom"/>
          </w:tcPr>
          <w:p>
            <w:pPr>
              <w:ind w:left="260"/>
              <w:spacing w:after="0"/>
              <w:rPr>
                <w:sz w:val="20"/>
                <w:szCs w:val="20"/>
                <w:color w:val="auto"/>
              </w:rPr>
            </w:pPr>
            <w:r>
              <w:rPr>
                <w:rFonts w:ascii="Arial" w:cs="Arial" w:eastAsia="Arial" w:hAnsi="Arial"/>
                <w:sz w:val="22"/>
                <w:szCs w:val="22"/>
                <w:color w:val="auto"/>
              </w:rPr>
              <w:t>Jerr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Palo Alto Networks,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232 East Java Drive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Sunnyvale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Klarich</w:t>
            </w:r>
          </w:p>
        </w:tc>
        <w:tc>
          <w:tcPr>
            <w:tcW w:w="840" w:type="dxa"/>
            <w:vAlign w:val="bottom"/>
          </w:tcPr>
          <w:p>
            <w:pPr>
              <w:ind w:left="260"/>
              <w:spacing w:after="0"/>
              <w:rPr>
                <w:sz w:val="20"/>
                <w:szCs w:val="20"/>
                <w:color w:val="auto"/>
              </w:rPr>
            </w:pPr>
            <w:r>
              <w:rPr>
                <w:rFonts w:ascii="Arial" w:cs="Arial" w:eastAsia="Arial" w:hAnsi="Arial"/>
                <w:sz w:val="22"/>
                <w:szCs w:val="22"/>
                <w:color w:val="auto"/>
              </w:rPr>
              <w:t>Lee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Palo Alto Networks,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232 East Java Drive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Sunnyvale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Link</w:t>
            </w:r>
          </w:p>
        </w:tc>
        <w:tc>
          <w:tcPr>
            <w:tcW w:w="840" w:type="dxa"/>
            <w:vAlign w:val="bottom"/>
          </w:tcPr>
          <w:p>
            <w:pPr>
              <w:ind w:left="260"/>
              <w:spacing w:after="0"/>
              <w:rPr>
                <w:sz w:val="20"/>
                <w:szCs w:val="20"/>
                <w:color w:val="auto"/>
              </w:rPr>
            </w:pPr>
            <w:r>
              <w:rPr>
                <w:rFonts w:ascii="Arial" w:cs="Arial" w:eastAsia="Arial" w:hAnsi="Arial"/>
                <w:sz w:val="22"/>
                <w:szCs w:val="22"/>
                <w:color w:val="auto"/>
              </w:rPr>
              <w:t>Larry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Palo Alto Networks,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232 East Java Drive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Sunnyvale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Bonvanie</w:t>
            </w:r>
          </w:p>
        </w:tc>
        <w:tc>
          <w:tcPr>
            <w:tcW w:w="840" w:type="dxa"/>
            <w:vAlign w:val="bottom"/>
          </w:tcPr>
          <w:p>
            <w:pPr>
              <w:ind w:left="260"/>
              <w:spacing w:after="0"/>
              <w:rPr>
                <w:sz w:val="20"/>
                <w:szCs w:val="20"/>
                <w:color w:val="auto"/>
              </w:rPr>
            </w:pPr>
            <w:r>
              <w:rPr>
                <w:rFonts w:ascii="Arial" w:cs="Arial" w:eastAsia="Arial" w:hAnsi="Arial"/>
                <w:sz w:val="22"/>
                <w:szCs w:val="22"/>
                <w:color w:val="auto"/>
              </w:rPr>
              <w:t>Rene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Palo Alto Networks,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232 East Java Drive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Sunnyvale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Eldridge</w:t>
            </w:r>
          </w:p>
        </w:tc>
        <w:tc>
          <w:tcPr>
            <w:tcW w:w="840" w:type="dxa"/>
            <w:vAlign w:val="bottom"/>
          </w:tcPr>
          <w:p>
            <w:pPr>
              <w:ind w:left="260"/>
              <w:spacing w:after="0"/>
              <w:rPr>
                <w:sz w:val="20"/>
                <w:szCs w:val="20"/>
                <w:color w:val="auto"/>
              </w:rPr>
            </w:pPr>
            <w:r>
              <w:rPr>
                <w:rFonts w:ascii="Arial" w:cs="Arial" w:eastAsia="Arial" w:hAnsi="Arial"/>
                <w:sz w:val="22"/>
                <w:szCs w:val="22"/>
                <w:color w:val="auto"/>
              </w:rPr>
              <w:t>Brett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Palo Alto Networks,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232 East Java Drive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Sunnyvale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Mao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Yuming</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1"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c/o Palo Alto Networks, Inc.</w:t>
      </w:r>
      <w:r>
        <w:rPr>
          <w:sz w:val="20"/>
          <w:szCs w:val="20"/>
          <w:color w:val="auto"/>
        </w:rPr>
        <w:tab/>
      </w:r>
      <w:r>
        <w:rPr>
          <w:rFonts w:ascii="Arial" w:cs="Arial" w:eastAsia="Arial" w:hAnsi="Arial"/>
          <w:sz w:val="19"/>
          <w:szCs w:val="19"/>
          <w:color w:val="auto"/>
        </w:rPr>
        <w:t>232 East Java Drive</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Sunnyvale</w:t>
      </w:r>
      <w:r>
        <w:rPr>
          <w:sz w:val="20"/>
          <w:szCs w:val="20"/>
          <w:color w:val="auto"/>
        </w:rPr>
        <w:tab/>
      </w:r>
      <w:r>
        <w:rPr>
          <w:rFonts w:ascii="Arial" w:cs="Arial" w:eastAsia="Arial" w:hAnsi="Arial"/>
          <w:sz w:val="22"/>
          <w:szCs w:val="22"/>
          <w:color w:val="auto"/>
        </w:rPr>
        <w:t>CALIFORNIA</w:t>
      </w:r>
      <w:r>
        <w:rPr>
          <w:sz w:val="20"/>
          <w:szCs w:val="20"/>
          <w:color w:val="auto"/>
        </w:rPr>
        <w:tab/>
      </w:r>
      <w:r>
        <w:rPr>
          <w:rFonts w:ascii="Arial" w:cs="Arial" w:eastAsia="Arial" w:hAnsi="Arial"/>
          <w:sz w:val="19"/>
          <w:szCs w:val="19"/>
          <w:color w:val="auto"/>
        </w:rPr>
        <w:t>94089</w:t>
      </w:r>
    </w:p>
    <w:p>
      <w:pPr>
        <w:spacing w:after="0" w:line="65"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2"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240"/>
              <w:spacing w:after="0"/>
              <w:rPr>
                <w:sz w:val="20"/>
                <w:szCs w:val="20"/>
                <w:color w:val="auto"/>
              </w:rPr>
            </w:pPr>
            <w:r>
              <w:rPr>
                <w:rFonts w:ascii="Arial" w:cs="Arial" w:eastAsia="Arial" w:hAnsi="Arial"/>
                <w:sz w:val="22"/>
                <w:szCs w:val="22"/>
                <w:color w:val="auto"/>
              </w:rPr>
              <w:t>X 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2"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22"/>
          <w:szCs w:val="22"/>
          <w:color w:val="auto"/>
        </w:rPr>
        <w:t>X Rule 504(b)(1) (not (i), (ii) or (iii))</w:t>
      </w:r>
      <w:r>
        <w:rPr>
          <w:sz w:val="20"/>
          <w:szCs w:val="20"/>
          <w:color w:val="auto"/>
        </w:rPr>
        <w:tab/>
      </w:r>
      <w:r>
        <w:rPr>
          <w:rFonts w:ascii="Arial" w:cs="Arial" w:eastAsia="Arial" w:hAnsi="Arial"/>
          <w:sz w:val="19"/>
          <w:szCs w:val="19"/>
          <w:color w:val="auto"/>
        </w:rPr>
        <w:t>Rule 505</w:t>
      </w:r>
    </w:p>
    <w:p>
      <w:pPr>
        <w:spacing w:after="0" w:line="44" w:lineRule="exact"/>
        <w:rPr>
          <w:sz w:val="20"/>
          <w:szCs w:val="20"/>
          <w:color w:val="auto"/>
        </w:rPr>
      </w:pPr>
    </w:p>
    <w:p>
      <w:pPr>
        <w:ind w:left="320"/>
        <w:spacing w:after="0"/>
        <w:tabs>
          <w:tab w:leader="none" w:pos="4600" w:val="left"/>
        </w:tabs>
        <w:rPr>
          <w:sz w:val="20"/>
          <w:szCs w:val="20"/>
          <w:color w:val="auto"/>
        </w:rPr>
      </w:pPr>
      <w:r>
        <w:rPr>
          <w:rFonts w:ascii="Arial" w:cs="Arial" w:eastAsia="Arial" w:hAnsi="Arial"/>
          <w:sz w:val="22"/>
          <w:szCs w:val="22"/>
          <w:color w:val="auto"/>
        </w:rPr>
        <w:t>Rule 504 (b)(1)(i)</w:t>
      </w:r>
      <w:r>
        <w:rPr>
          <w:sz w:val="20"/>
          <w:szCs w:val="20"/>
          <w:color w:val="auto"/>
        </w:rPr>
        <w:tab/>
      </w:r>
      <w:r>
        <w:rPr>
          <w:rFonts w:ascii="Arial" w:cs="Arial" w:eastAsia="Arial" w:hAnsi="Arial"/>
          <w:sz w:val="19"/>
          <w:szCs w:val="19"/>
          <w:color w:val="auto"/>
        </w:rPr>
        <w:t>Rule 506</w:t>
      </w:r>
    </w:p>
    <w:p>
      <w:pPr>
        <w:spacing w:after="0" w:line="44" w:lineRule="exact"/>
        <w:rPr>
          <w:sz w:val="20"/>
          <w:szCs w:val="20"/>
          <w:color w:val="auto"/>
        </w:rPr>
      </w:pPr>
    </w:p>
    <w:p>
      <w:pPr>
        <w:ind w:left="320"/>
        <w:spacing w:after="0"/>
        <w:tabs>
          <w:tab w:leader="none" w:pos="4600" w:val="left"/>
        </w:tabs>
        <w:rPr>
          <w:sz w:val="20"/>
          <w:szCs w:val="20"/>
          <w:color w:val="auto"/>
        </w:rPr>
      </w:pPr>
      <w:r>
        <w:rPr>
          <w:rFonts w:ascii="Arial" w:cs="Arial" w:eastAsia="Arial" w:hAnsi="Arial"/>
          <w:sz w:val="22"/>
          <w:szCs w:val="22"/>
          <w:color w:val="auto"/>
        </w:rPr>
        <w:t>Rule 504 (b)(1)(ii)</w:t>
      </w:r>
      <w:r>
        <w:rPr>
          <w:sz w:val="20"/>
          <w:szCs w:val="20"/>
          <w:color w:val="auto"/>
        </w:rPr>
        <w:tab/>
      </w:r>
      <w:r>
        <w:rPr>
          <w:rFonts w:ascii="Arial" w:cs="Arial" w:eastAsia="Arial" w:hAnsi="Arial"/>
          <w:sz w:val="19"/>
          <w:szCs w:val="19"/>
          <w:color w:val="auto"/>
        </w:rPr>
        <w:t>Securities Act Section 4(5)</w:t>
      </w:r>
    </w:p>
    <w:p>
      <w:pPr>
        <w:spacing w:after="0" w:line="44" w:lineRule="exact"/>
        <w:rPr>
          <w:sz w:val="20"/>
          <w:szCs w:val="20"/>
          <w:color w:val="auto"/>
        </w:rPr>
      </w:pPr>
    </w:p>
    <w:p>
      <w:pPr>
        <w:ind w:left="320"/>
        <w:spacing w:after="0"/>
        <w:tabs>
          <w:tab w:leader="none" w:pos="4600" w:val="left"/>
        </w:tabs>
        <w:rPr>
          <w:sz w:val="20"/>
          <w:szCs w:val="20"/>
          <w:color w:val="auto"/>
        </w:rPr>
      </w:pPr>
      <w:r>
        <w:rPr>
          <w:rFonts w:ascii="Arial" w:cs="Arial" w:eastAsia="Arial" w:hAnsi="Arial"/>
          <w:sz w:val="22"/>
          <w:szCs w:val="22"/>
          <w:color w:val="auto"/>
        </w:rPr>
        <w:t>Rule 504 (b)(1)(iii)</w:t>
      </w:r>
      <w:r>
        <w:rPr>
          <w:sz w:val="20"/>
          <w:szCs w:val="20"/>
          <w:color w:val="auto"/>
        </w:rPr>
        <w:tab/>
      </w:r>
      <w:r>
        <w:rPr>
          <w:rFonts w:ascii="Arial" w:cs="Arial" w:eastAsia="Arial" w:hAnsi="Arial"/>
          <w:sz w:val="19"/>
          <w:szCs w:val="19"/>
          <w:color w:val="auto"/>
        </w:rPr>
        <w:t>Investment Company Act Section 3(c)</w:t>
      </w:r>
    </w:p>
    <w:p>
      <w:pPr>
        <w:spacing w:after="0" w:line="125" w:lineRule="exact"/>
        <w:rPr>
          <w:sz w:val="20"/>
          <w:szCs w:val="20"/>
          <w:color w:val="auto"/>
        </w:rPr>
      </w:pPr>
    </w:p>
    <w:p>
      <w:pPr>
        <w:ind w:left="4700"/>
        <w:spacing w:after="0"/>
        <w:tabs>
          <w:tab w:leader="none" w:pos="688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jc w:val="right"/>
        <w:ind w:right="1899"/>
        <w:spacing w:after="0"/>
        <w:tabs>
          <w:tab w:leader="none" w:pos="14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ectPr>
          <w:pgSz w:w="11900" w:h="16838" w:orient="portrait"/>
          <w:cols w:equalWidth="0" w:num="1">
            <w:col w:w="10219"/>
          </w:cols>
          <w:pgMar w:left="240" w:top="112" w:right="1440" w:bottom="0" w:gutter="0" w:footer="0" w:header="0"/>
          <w:type w:val="continuous"/>
        </w:sectPr>
      </w:pPr>
    </w:p>
    <w:bookmarkStart w:id="4" w:name="page5"/>
    <w:bookmarkEnd w:id="4"/>
    <w:p>
      <w:pPr>
        <w:ind w:left="4700"/>
        <w:spacing w:after="0"/>
        <w:tabs>
          <w:tab w:leader="none" w:pos="688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6" w:lineRule="exact"/>
        <w:rPr>
          <w:sz w:val="20"/>
          <w:szCs w:val="20"/>
          <w:color w:val="auto"/>
        </w:rPr>
      </w:pPr>
    </w:p>
    <w:p>
      <w:pPr>
        <w:ind w:left="4700"/>
        <w:spacing w:after="0"/>
        <w:tabs>
          <w:tab w:leader="none" w:pos="688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4700"/>
        <w:spacing w:after="0"/>
        <w:tabs>
          <w:tab w:leader="none" w:pos="688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4700"/>
        <w:spacing w:after="0"/>
        <w:tabs>
          <w:tab w:leader="none" w:pos="688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Section 3(c)(7)</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22"/>
          <w:szCs w:val="22"/>
          <w:color w:val="auto"/>
        </w:rPr>
        <w:t>X New Notice</w:t>
      </w:r>
      <w:r>
        <w:rPr>
          <w:sz w:val="20"/>
          <w:szCs w:val="20"/>
          <w:color w:val="auto"/>
        </w:rPr>
        <w:tab/>
      </w:r>
      <w:r>
        <w:rPr>
          <w:rFonts w:ascii="Arial" w:cs="Arial" w:eastAsia="Arial" w:hAnsi="Arial"/>
          <w:sz w:val="19"/>
          <w:szCs w:val="19"/>
          <w:color w:val="auto"/>
        </w:rPr>
        <w:t>Date of First Sale X 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600" w:val="left"/>
          <w:tab w:leader="none" w:pos="6360" w:val="left"/>
        </w:tabs>
        <w:rPr>
          <w:sz w:val="20"/>
          <w:szCs w:val="20"/>
          <w:color w:val="auto"/>
        </w:rPr>
      </w:pPr>
      <w:r>
        <w:rPr>
          <w:rFonts w:ascii="Arial" w:cs="Arial" w:eastAsia="Arial" w:hAnsi="Arial"/>
          <w:sz w:val="21"/>
          <w:szCs w:val="21"/>
          <w:color w:val="auto"/>
        </w:rPr>
        <w:t>Does the Issuer intend this offering to last more than one year?</w:t>
      </w:r>
      <w:r>
        <w:rPr>
          <w:sz w:val="20"/>
          <w:szCs w:val="20"/>
          <w:color w:val="auto"/>
        </w:rPr>
        <w:tab/>
      </w:r>
      <w:r>
        <w:rPr>
          <w:rFonts w:ascii="Arial" w:cs="Arial" w:eastAsia="Arial" w:hAnsi="Arial"/>
          <w:sz w:val="22"/>
          <w:szCs w:val="22"/>
          <w:color w:val="auto"/>
        </w:rPr>
        <w:t>X Yes</w:t>
      </w:r>
      <w:r>
        <w:rPr>
          <w:sz w:val="20"/>
          <w:szCs w:val="20"/>
          <w:color w:val="auto"/>
        </w:rPr>
        <w:tab/>
      </w:r>
      <w:r>
        <w:rPr>
          <w:rFonts w:ascii="Arial" w:cs="Arial" w:eastAsia="Arial" w:hAnsi="Arial"/>
          <w:sz w:val="19"/>
          <w:szCs w:val="19"/>
          <w:color w:val="auto"/>
        </w:rPr>
        <w:t>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40" w:type="dxa"/>
            <w:vAlign w:val="bottom"/>
          </w:tcPr>
          <w:p>
            <w:pPr>
              <w:ind w:left="260"/>
              <w:spacing w:after="0"/>
              <w:rPr>
                <w:sz w:val="20"/>
                <w:szCs w:val="20"/>
                <w:color w:val="auto"/>
              </w:rPr>
            </w:pPr>
            <w:r>
              <w:rPr>
                <w:rFonts w:ascii="Arial" w:cs="Arial" w:eastAsia="Arial" w:hAnsi="Arial"/>
                <w:sz w:val="22"/>
                <w:szCs w:val="22"/>
                <w:color w:val="auto"/>
              </w:rPr>
              <w:t>Equity</w:t>
            </w: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Debt</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3"/>
          </w:tcPr>
          <w:p>
            <w:pPr>
              <w:ind w:left="40"/>
              <w:spacing w:after="0"/>
              <w:rPr>
                <w:sz w:val="20"/>
                <w:szCs w:val="20"/>
                <w:color w:val="auto"/>
              </w:rPr>
            </w:pPr>
            <w:r>
              <w:rPr>
                <w:rFonts w:ascii="Arial" w:cs="Arial" w:eastAsia="Arial" w:hAnsi="Arial"/>
                <w:sz w:val="22"/>
                <w:szCs w:val="22"/>
                <w:color w:val="auto"/>
                <w:w w:val="97"/>
              </w:rPr>
              <w:t>X 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840" w:type="dxa"/>
            <w:vAlign w:val="bottom"/>
            <w:gridSpan w:val="3"/>
          </w:tcPr>
          <w:p>
            <w:pPr>
              <w:ind w:left="260"/>
              <w:spacing w:after="0" w:line="233" w:lineRule="exact"/>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4140" w:type="dxa"/>
            <w:vAlign w:val="bottom"/>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4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3"/>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00" w:type="dxa"/>
            <w:vAlign w:val="bottom"/>
          </w:tcPr>
          <w:p>
            <w:pPr>
              <w:spacing w:after="0"/>
              <w:rPr>
                <w:sz w:val="24"/>
                <w:szCs w:val="24"/>
                <w:color w:val="auto"/>
              </w:rPr>
            </w:pPr>
          </w:p>
        </w:tc>
        <w:tc>
          <w:tcPr>
            <w:tcW w:w="2980" w:type="dxa"/>
            <w:vAlign w:val="bottom"/>
            <w:gridSpan w:val="2"/>
          </w:tcPr>
          <w:p>
            <w:pPr>
              <w:ind w:left="1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22"/>
                <w:szCs w:val="22"/>
                <w:color w:val="auto"/>
              </w:rPr>
              <w:t>City</w:t>
            </w:r>
          </w:p>
        </w:tc>
        <w:tc>
          <w:tcPr>
            <w:tcW w:w="1000" w:type="dxa"/>
            <w:vAlign w:val="bottom"/>
          </w:tcPr>
          <w:p>
            <w:pPr>
              <w:spacing w:after="0"/>
              <w:rPr>
                <w:sz w:val="24"/>
                <w:szCs w:val="24"/>
                <w:color w:val="auto"/>
              </w:rPr>
            </w:pPr>
          </w:p>
        </w:tc>
        <w:tc>
          <w:tcPr>
            <w:tcW w:w="2980" w:type="dxa"/>
            <w:vAlign w:val="bottom"/>
            <w:gridSpan w:val="2"/>
          </w:tcPr>
          <w:p>
            <w:pPr>
              <w:ind w:left="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2980" w:type="dxa"/>
            <w:vAlign w:val="bottom"/>
            <w:gridSpan w:val="2"/>
            <w:vMerge w:val="restart"/>
          </w:tcPr>
          <w:p>
            <w:pPr>
              <w:ind w:left="260"/>
              <w:spacing w:after="0"/>
              <w:rPr>
                <w:sz w:val="20"/>
                <w:szCs w:val="20"/>
                <w:color w:val="auto"/>
              </w:rPr>
            </w:pPr>
            <w:r>
              <w:rPr>
                <w:rFonts w:ascii="Arial" w:cs="Arial" w:eastAsia="Arial" w:hAnsi="Arial"/>
                <w:sz w:val="22"/>
                <w:szCs w:val="22"/>
                <w:color w:val="auto"/>
              </w:rPr>
              <w:t>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2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ectPr>
          <w:pgSz w:w="11900" w:h="16838" w:orient="portrait"/>
          <w:cols w:equalWidth="0" w:num="1">
            <w:col w:w="11380"/>
          </w:cols>
          <w:pgMar w:left="240" w:top="118" w:right="279" w:bottom="0" w:gutter="0" w:footer="0" w:header="0"/>
        </w:sectPr>
      </w:pPr>
    </w:p>
    <w:p>
      <w:pPr>
        <w:spacing w:after="0" w:line="287" w:lineRule="exact"/>
        <w:rPr>
          <w:sz w:val="20"/>
          <w:szCs w:val="20"/>
          <w:color w:val="auto"/>
        </w:rPr>
      </w:pPr>
    </w:p>
    <w:p>
      <w:pPr>
        <w:ind w:left="40"/>
        <w:spacing w:after="0"/>
        <w:tabs>
          <w:tab w:leader="none" w:pos="2460" w:val="left"/>
          <w:tab w:leader="none" w:pos="4260" w:val="left"/>
        </w:tabs>
        <w:rPr>
          <w:sz w:val="20"/>
          <w:szCs w:val="20"/>
          <w:color w:val="auto"/>
        </w:rPr>
      </w:pPr>
      <w:r>
        <w:rPr>
          <w:rFonts w:ascii="Arial" w:cs="Arial" w:eastAsia="Arial" w:hAnsi="Arial"/>
          <w:sz w:val="22"/>
          <w:szCs w:val="22"/>
          <w:color w:val="auto"/>
        </w:rPr>
        <w:t>Total Offering Amount</w:t>
      </w:r>
      <w:r>
        <w:rPr>
          <w:sz w:val="20"/>
          <w:szCs w:val="20"/>
          <w:color w:val="auto"/>
        </w:rPr>
        <w:tab/>
      </w:r>
      <w:r>
        <w:rPr>
          <w:rFonts w:ascii="Arial" w:cs="Arial" w:eastAsia="Arial" w:hAnsi="Arial"/>
          <w:sz w:val="22"/>
          <w:szCs w:val="22"/>
          <w:color w:val="auto"/>
        </w:rPr>
        <w:t>$687,800 USD or</w:t>
      </w:r>
      <w:r>
        <w:rPr>
          <w:sz w:val="20"/>
          <w:szCs w:val="20"/>
          <w:color w:val="auto"/>
        </w:rPr>
        <w:tab/>
      </w:r>
      <w:r>
        <w:rPr>
          <w:rFonts w:ascii="Arial" w:cs="Arial" w:eastAsia="Arial" w:hAnsi="Arial"/>
          <w:sz w:val="19"/>
          <w:szCs w:val="19"/>
          <w:color w:val="auto"/>
        </w:rPr>
        <w:t>Indefinite</w:t>
      </w:r>
    </w:p>
    <w:p>
      <w:pPr>
        <w:spacing w:after="0" w:line="85" w:lineRule="exact"/>
        <w:rPr>
          <w:sz w:val="20"/>
          <w:szCs w:val="20"/>
          <w:color w:val="auto"/>
        </w:rPr>
      </w:pPr>
    </w:p>
    <w:p>
      <w:pPr>
        <w:ind w:left="40"/>
        <w:spacing w:after="0"/>
        <w:tabs>
          <w:tab w:leader="none" w:pos="3060" w:val="left"/>
        </w:tabs>
        <w:rPr>
          <w:sz w:val="20"/>
          <w:szCs w:val="20"/>
          <w:color w:val="auto"/>
        </w:rPr>
      </w:pPr>
      <w:r>
        <w:rPr>
          <w:rFonts w:ascii="Arial" w:cs="Arial" w:eastAsia="Arial" w:hAnsi="Arial"/>
          <w:sz w:val="22"/>
          <w:szCs w:val="22"/>
          <w:color w:val="auto"/>
        </w:rPr>
        <w:t>Total Amount Sold</w:t>
      </w:r>
      <w:r>
        <w:rPr>
          <w:sz w:val="20"/>
          <w:szCs w:val="20"/>
          <w:color w:val="auto"/>
        </w:rPr>
        <w:tab/>
      </w:r>
      <w:r>
        <w:rPr>
          <w:rFonts w:ascii="Arial" w:cs="Arial" w:eastAsia="Arial" w:hAnsi="Arial"/>
          <w:sz w:val="19"/>
          <w:szCs w:val="19"/>
          <w:color w:val="auto"/>
        </w:rPr>
        <w:t>$0 USD</w:t>
      </w:r>
    </w:p>
    <w:p>
      <w:pPr>
        <w:spacing w:after="0" w:line="85"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Total Remaining to be Sold $687,800 USD or</w:t>
      </w:r>
      <w:r>
        <w:rPr>
          <w:sz w:val="20"/>
          <w:szCs w:val="20"/>
          <w:color w:val="auto"/>
        </w:rPr>
        <w:tab/>
      </w:r>
      <w:r>
        <w:rPr>
          <w:rFonts w:ascii="Arial" w:cs="Arial" w:eastAsia="Arial" w:hAnsi="Arial"/>
          <w:sz w:val="19"/>
          <w:szCs w:val="19"/>
          <w:color w:val="auto"/>
        </w:rPr>
        <w:t>Indefinite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40" w:hanging="251"/>
        <w:spacing w:after="0" w:line="192" w:lineRule="auto"/>
        <w:tabs>
          <w:tab w:leader="none" w:pos="340" w:val="left"/>
        </w:tabs>
        <w:numPr>
          <w:ilvl w:val="0"/>
          <w:numId w:val="2"/>
        </w:numPr>
        <w:rPr>
          <w:rFonts w:ascii="Arial" w:cs="Arial" w:eastAsia="Arial" w:hAnsi="Arial"/>
          <w:sz w:val="37"/>
          <w:szCs w:val="37"/>
          <w:color w:val="auto"/>
          <w:vertAlign w:val="subscript"/>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5" w:lineRule="exact"/>
        <w:rPr>
          <w:rFonts w:ascii="Arial" w:cs="Arial" w:eastAsia="Arial" w:hAnsi="Arial"/>
          <w:sz w:val="37"/>
          <w:szCs w:val="37"/>
          <w:color w:val="auto"/>
          <w:vertAlign w:val="subscript"/>
        </w:rPr>
      </w:pPr>
    </w:p>
    <w:p>
      <w:pPr>
        <w:ind w:left="340" w:right="60"/>
        <w:spacing w:after="0" w:line="328" w:lineRule="auto"/>
        <w:rPr>
          <w:rFonts w:ascii="Arial" w:cs="Arial" w:eastAsia="Arial" w:hAnsi="Arial"/>
          <w:sz w:val="37"/>
          <w:szCs w:val="37"/>
          <w:color w:val="auto"/>
          <w:vertAlign w:val="subscript"/>
        </w:rPr>
      </w:pPr>
      <w:r>
        <w:rPr>
          <w:rFonts w:ascii="Arial" w:cs="Arial" w:eastAsia="Arial" w:hAnsi="Arial"/>
          <w:sz w:val="19"/>
          <w:szCs w:val="19"/>
          <w:color w:val="auto"/>
        </w:rPr>
        <w:t>Regardless of whether securities in the offering have been or may be sold to persons who do not qualify as accredited investors, enter the total number of investors who already have invested in the offering:</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Arial" w:cs="Arial" w:eastAsia="Arial" w:hAnsi="Arial"/>
          <w:sz w:val="11"/>
          <w:szCs w:val="1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-264795</wp:posOffset>
            </wp:positionV>
            <wp:extent cx="870585"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870585"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77470</wp:posOffset>
            </wp:positionV>
            <wp:extent cx="870585"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70585" cy="26543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Arial" w:cs="Arial" w:eastAsia="Arial" w:hAnsi="Arial"/>
          <w:sz w:val="11"/>
          <w:szCs w:val="11"/>
          <w:color w:val="auto"/>
        </w:rPr>
        <w:t>0</w:t>
      </w:r>
    </w:p>
    <w:p>
      <w:pPr>
        <w:sectPr>
          <w:pgSz w:w="11900" w:h="16838" w:orient="portrait"/>
          <w:cols w:equalWidth="0" w:num="2">
            <w:col w:w="9620" w:space="380"/>
            <w:col w:w="1380"/>
          </w:cols>
          <w:pgMar w:left="240" w:top="118" w:right="279" w:bottom="0" w:gutter="0" w:footer="0" w:header="0"/>
          <w:type w:val="continuous"/>
        </w:sectPr>
      </w:pPr>
    </w:p>
    <w:bookmarkStart w:id="5" w:name="page6"/>
    <w:bookmarkEnd w:id="5"/>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975" w:gutter="0" w:footer="0" w:header="0"/>
        </w:sect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660" w:type="dxa"/>
            <w:vAlign w:val="bottom"/>
            <w:tcBorders>
              <w:top w:val="single" w:sz="8" w:color="2C2C2C"/>
              <w:bottom w:val="single" w:sz="8" w:color="808080"/>
            </w:tcBorders>
          </w:tcPr>
          <w:p>
            <w:pPr>
              <w:ind w:left="10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60" w:type="dxa"/>
            <w:vAlign w:val="bottom"/>
            <w:tcBorders>
              <w:top w:val="single" w:sz="8" w:color="2C2C2C"/>
              <w:bottom w:val="single" w:sz="8" w:color="808080"/>
            </w:tcBorders>
          </w:tcPr>
          <w:p>
            <w:pPr>
              <w:ind w:left="2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4000" w:type="dxa"/>
            <w:vAlign w:val="bottom"/>
            <w:tcBorders>
              <w:top w:val="single" w:sz="8" w:color="2C2C2C"/>
              <w:bottom w:val="single" w:sz="8" w:color="808080"/>
            </w:tcBorders>
          </w:tcPr>
          <w:p>
            <w:pPr>
              <w:ind w:left="17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Palo Alto Networks Inc</w:t>
            </w:r>
          </w:p>
        </w:tc>
        <w:tc>
          <w:tcPr>
            <w:tcW w:w="2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Jeff C. True</w:t>
            </w:r>
          </w:p>
        </w:tc>
        <w:tc>
          <w:tcPr>
            <w:tcW w:w="40" w:type="dxa"/>
            <w:vAlign w:val="bottom"/>
          </w:tcPr>
          <w:p>
            <w:pPr>
              <w:spacing w:after="0"/>
              <w:rPr>
                <w:sz w:val="22"/>
                <w:szCs w:val="22"/>
                <w:color w:val="auto"/>
              </w:rPr>
            </w:pP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Jeff True</w:t>
            </w:r>
          </w:p>
        </w:tc>
        <w:tc>
          <w:tcPr>
            <w:tcW w:w="20" w:type="dxa"/>
            <w:vAlign w:val="bottom"/>
          </w:tcPr>
          <w:p>
            <w:pPr>
              <w:spacing w:after="0"/>
              <w:rPr>
                <w:sz w:val="22"/>
                <w:szCs w:val="22"/>
                <w:color w:val="auto"/>
              </w:rPr>
            </w:pPr>
          </w:p>
        </w:tc>
        <w:tc>
          <w:tcPr>
            <w:tcW w:w="40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Vice President and General Counsel</w:t>
            </w:r>
          </w:p>
        </w:tc>
        <w:tc>
          <w:tcPr>
            <w:tcW w:w="2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jc w:val="right"/>
              <w:ind w:right="212"/>
              <w:spacing w:after="0"/>
              <w:rPr>
                <w:sz w:val="20"/>
                <w:szCs w:val="20"/>
                <w:color w:val="auto"/>
              </w:rPr>
            </w:pPr>
            <w:r>
              <w:rPr>
                <w:rFonts w:ascii="Arial" w:cs="Arial" w:eastAsia="Arial" w:hAnsi="Arial"/>
                <w:sz w:val="22"/>
                <w:szCs w:val="22"/>
                <w:color w:val="auto"/>
                <w:w w:val="90"/>
              </w:rPr>
              <w:t>2011-04-18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9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12" Type="http://schemas.openxmlformats.org/officeDocument/2006/relationships/hyperlink" Target="http://www.sec.gov/cgi-bin/browse-edgar?action=getcompany&amp;CIK=00013275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2019-12-11T01:10:00Z</dcterms:created>
  <dcterms:modified xsi:type="dcterms:W3CDTF">2019-12-11T01:10:00Z</dcterms:modified>
</cp:coreProperties>
</file>