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PALO ALTO NETWORKS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TANNERY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SANTA</w:t>
            </w: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CLARA</w:t>
            </w: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Palo Alto Networks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PANW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900" w:type="dxa"/>
            <w:vAlign w:val="bottom"/>
            <w:tcBorders>
              <w:bottom w:val="single" w:sz="8" w:color="2C2C2C"/>
            </w:tcBorders>
          </w:tcPr>
          <w:p>
            <w:pPr>
              <w:spacing w:after="0"/>
              <w:rPr>
                <w:sz w:val="15"/>
                <w:szCs w:val="15"/>
                <w:color w:val="auto"/>
              </w:rPr>
            </w:pPr>
          </w:p>
        </w:tc>
        <w:tc>
          <w:tcPr>
            <w:tcW w:w="17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0000FF"/>
              </w:rPr>
              <w:t>345</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290.171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7,359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1,644</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price represents the weighted average sale price of the shares sold ranging from $290.005 to $290.24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Bawa Family Trust, for which the Reporting Person and her spouse serve as trustees.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3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Aparna</w:t>
        <w:tab/>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Bawa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2026-06-22T18:11:57Z</dcterms:created>
  <dcterms:modified xsi:type="dcterms:W3CDTF">2026-06-22T18:11:57Z</dcterms:modified>
</cp:coreProperties>
</file>