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Palo Alto Networks,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697435105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66" w:lineRule="exact"/>
        <w:rPr>
          <w:sz w:val="24"/>
          <w:szCs w:val="24"/>
          <w:color w:val="auto"/>
        </w:rPr>
      </w:pPr>
    </w:p>
    <w:p>
      <w:pPr>
        <w:ind w:left="660" w:right="9520" w:hanging="4"/>
        <w:spacing w:after="0" w:line="287" w:lineRule="auto"/>
        <w:tabs>
          <w:tab w:leader="none" w:pos="894" w:val="left"/>
        </w:tabs>
        <w:numPr>
          <w:ilvl w:val="0"/>
          <w:numId w:val="1"/>
        </w:numPr>
        <w:rPr>
          <w:rFonts w:ascii="MS PGothic" w:cs="MS PGothic" w:eastAsia="MS PGothic" w:hAnsi="MS PGothic"/>
          <w:sz w:val="20"/>
          <w:szCs w:val="20"/>
          <w:color w:val="auto"/>
        </w:rPr>
      </w:pPr>
      <w:r>
        <w:rPr>
          <w:rFonts w:ascii="Arial" w:cs="Arial" w:eastAsia="Arial" w:hAnsi="Arial"/>
          <w:sz w:val="16"/>
          <w:szCs w:val="16"/>
          <w:color w:val="auto"/>
        </w:rPr>
        <w:t xml:space="preserve">Rule 13d-1(b) </w:t>
      </w:r>
      <w:r>
        <w:rPr>
          <w:rFonts w:ascii="Arial" w:cs="Arial" w:eastAsia="Arial" w:hAnsi="Arial"/>
          <w:sz w:val="19"/>
          <w:szCs w:val="19"/>
          <w:color w:val="auto"/>
        </w:rPr>
        <w:t xml:space="preserve">o </w:t>
      </w:r>
      <w:r>
        <w:rPr>
          <w:rFonts w:ascii="Arial" w:cs="Arial" w:eastAsia="Arial" w:hAnsi="Arial"/>
          <w:sz w:val="16"/>
          <w:szCs w:val="16"/>
          <w:color w:val="auto"/>
        </w:rPr>
        <w:t>Rule 13d-1(c)</w:t>
      </w:r>
      <w:r>
        <w:rPr>
          <w:rFonts w:ascii="Arial" w:cs="Arial" w:eastAsia="Arial" w:hAnsi="Arial"/>
          <w:sz w:val="19"/>
          <w:szCs w:val="19"/>
          <w:color w:val="auto"/>
        </w:rPr>
        <w:t xml:space="preserve"> o </w:t>
      </w:r>
      <w:r>
        <w:rPr>
          <w:rFonts w:ascii="Arial" w:cs="Arial" w:eastAsia="Arial" w:hAnsi="Arial"/>
          <w:sz w:val="16"/>
          <w:szCs w:val="16"/>
          <w:color w:val="auto"/>
        </w:rPr>
        <w:t>Rule 13d-1(d)</w:t>
      </w:r>
    </w:p>
    <w:p>
      <w:pPr>
        <w:spacing w:after="0" w:line="39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25043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697435105</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2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6054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05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NAME OF REPORTING PERSONS</w:t>
      </w:r>
    </w:p>
    <w:p>
      <w:pPr>
        <w:ind w:left="960"/>
        <w:spacing w:after="0" w:line="236" w:lineRule="auto"/>
        <w:rPr>
          <w:sz w:val="20"/>
          <w:szCs w:val="20"/>
          <w:color w:val="auto"/>
        </w:rPr>
      </w:pPr>
      <w:r>
        <w:rPr>
          <w:rFonts w:ascii="Arial" w:cs="Arial" w:eastAsia="Arial" w:hAnsi="Arial"/>
          <w:sz w:val="18"/>
          <w:szCs w:val="18"/>
          <w:color w:val="auto"/>
        </w:rPr>
        <w:t>I.R.S. IDENTIFICATION NO. OF ABOVE PERSONS (ENTITIES ONLY)</w:t>
      </w:r>
    </w:p>
    <w:p>
      <w:pPr>
        <w:ind w:left="400"/>
        <w:spacing w:after="0" w:line="211" w:lineRule="auto"/>
        <w:rPr>
          <w:sz w:val="20"/>
          <w:szCs w:val="20"/>
          <w:color w:val="auto"/>
        </w:rPr>
      </w:pPr>
      <w:r>
        <w:rPr>
          <w:rFonts w:ascii="Arial" w:cs="Arial" w:eastAsia="Arial" w:hAnsi="Arial"/>
          <w:sz w:val="25"/>
          <w:szCs w:val="25"/>
          <w:color w:val="auto"/>
        </w:rPr>
        <w:t>1</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Criterion Capital Management LLC</w:t>
      </w:r>
    </w:p>
    <w:p>
      <w:pPr>
        <w:spacing w:after="0" w:line="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(27-0008048)</w:t>
      </w:r>
    </w:p>
    <w:p>
      <w:pPr>
        <w:spacing w:after="0" w:line="9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CHECK THE APPROPRIATE BOX IF A MEMBER OF A GROUP (See Instructions)</w:t>
      </w:r>
    </w:p>
    <w:p>
      <w:pPr>
        <w:ind w:left="960" w:hanging="556"/>
        <w:spacing w:after="0" w:line="209" w:lineRule="auto"/>
        <w:tabs>
          <w:tab w:leader="none" w:pos="960" w:val="left"/>
        </w:tabs>
        <w:numPr>
          <w:ilvl w:val="0"/>
          <w:numId w:val="2"/>
        </w:numPr>
        <w:rPr>
          <w:rFonts w:ascii="Arial" w:cs="Arial" w:eastAsia="Arial" w:hAnsi="Arial"/>
          <w:sz w:val="25"/>
          <w:szCs w:val="25"/>
          <w:color w:val="auto"/>
        </w:rPr>
      </w:pPr>
      <w:r>
        <w:rPr>
          <w:rFonts w:ascii="Arial" w:cs="Arial" w:eastAsia="Arial" w:hAnsi="Arial"/>
          <w:sz w:val="18"/>
          <w:szCs w:val="18"/>
          <w:color w:val="auto"/>
        </w:rPr>
        <w:t>(a) o</w:t>
      </w:r>
    </w:p>
    <w:p>
      <w:pPr>
        <w:spacing w:after="0" w:line="2" w:lineRule="exact"/>
        <w:rPr>
          <w:rFonts w:ascii="Arial" w:cs="Arial" w:eastAsia="Arial" w:hAnsi="Arial"/>
          <w:sz w:val="25"/>
          <w:szCs w:val="25"/>
          <w:color w:val="auto"/>
        </w:rPr>
      </w:pPr>
    </w:p>
    <w:p>
      <w:pPr>
        <w:ind w:left="960"/>
        <w:spacing w:after="0"/>
        <w:rPr>
          <w:rFonts w:ascii="Arial" w:cs="Arial" w:eastAsia="Arial" w:hAnsi="Arial"/>
          <w:sz w:val="25"/>
          <w:szCs w:val="25"/>
          <w:color w:val="auto"/>
        </w:rPr>
      </w:pPr>
      <w:r>
        <w:rPr>
          <w:rFonts w:ascii="Arial" w:cs="Arial" w:eastAsia="Arial" w:hAnsi="Arial"/>
          <w:sz w:val="18"/>
          <w:szCs w:val="18"/>
          <w:color w:val="auto"/>
        </w:rPr>
        <w:t>(b) o</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ind w:left="960"/>
              <w:spacing w:after="0"/>
              <w:rPr>
                <w:sz w:val="20"/>
                <w:szCs w:val="20"/>
                <w:color w:val="auto"/>
              </w:rPr>
            </w:pPr>
            <w:r>
              <w:rPr>
                <w:rFonts w:ascii="Arial" w:cs="Arial" w:eastAsia="Arial" w:hAnsi="Arial"/>
                <w:sz w:val="18"/>
                <w:szCs w:val="18"/>
                <w:color w:val="auto"/>
              </w:rPr>
              <w:t>SEC USE ONLY</w:t>
            </w:r>
          </w:p>
        </w:tc>
        <w:tc>
          <w:tcPr>
            <w:tcW w:w="88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2340" w:type="dxa"/>
            <w:vAlign w:val="bottom"/>
          </w:tcPr>
          <w:p>
            <w:pPr>
              <w:jc w:val="right"/>
              <w:ind w:right="1704"/>
              <w:spacing w:after="0"/>
              <w:rPr>
                <w:sz w:val="20"/>
                <w:szCs w:val="20"/>
                <w:color w:val="auto"/>
              </w:rPr>
            </w:pPr>
            <w:r>
              <w:rPr>
                <w:rFonts w:ascii="Arial" w:cs="Arial" w:eastAsia="Arial" w:hAnsi="Arial"/>
                <w:sz w:val="25"/>
                <w:szCs w:val="25"/>
                <w:color w:val="auto"/>
              </w:rPr>
              <w:t>3</w:t>
            </w:r>
          </w:p>
        </w:tc>
        <w:tc>
          <w:tcPr>
            <w:tcW w:w="8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2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56"/>
        </w:trPr>
        <w:tc>
          <w:tcPr>
            <w:tcW w:w="2340" w:type="dxa"/>
            <w:vAlign w:val="bottom"/>
          </w:tcPr>
          <w:p>
            <w:pPr>
              <w:jc w:val="right"/>
              <w:ind w:right="1704"/>
              <w:spacing w:after="0" w:line="256" w:lineRule="exact"/>
              <w:rPr>
                <w:sz w:val="20"/>
                <w:szCs w:val="20"/>
                <w:color w:val="auto"/>
              </w:rPr>
            </w:pPr>
            <w:r>
              <w:rPr>
                <w:rFonts w:ascii="Arial" w:cs="Arial" w:eastAsia="Arial" w:hAnsi="Arial"/>
                <w:sz w:val="25"/>
                <w:szCs w:val="25"/>
                <w:color w:val="auto"/>
              </w:rPr>
              <w:t>4</w:t>
            </w:r>
          </w:p>
        </w:tc>
        <w:tc>
          <w:tcPr>
            <w:tcW w:w="880" w:type="dxa"/>
            <w:vAlign w:val="bottom"/>
          </w:tcPr>
          <w:p>
            <w:pPr>
              <w:spacing w:after="0"/>
              <w:rPr>
                <w:sz w:val="22"/>
                <w:szCs w:val="22"/>
                <w:color w:val="auto"/>
              </w:rPr>
            </w:pPr>
          </w:p>
        </w:tc>
        <w:tc>
          <w:tcPr>
            <w:tcW w:w="8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340" w:type="dxa"/>
            <w:vAlign w:val="bottom"/>
          </w:tcPr>
          <w:p>
            <w:pPr>
              <w:ind w:left="1020"/>
              <w:spacing w:after="0"/>
              <w:rPr>
                <w:sz w:val="20"/>
                <w:szCs w:val="20"/>
                <w:color w:val="auto"/>
              </w:rPr>
            </w:pPr>
            <w:r>
              <w:rPr>
                <w:rFonts w:ascii="Arial" w:cs="Arial" w:eastAsia="Arial" w:hAnsi="Arial"/>
                <w:sz w:val="18"/>
                <w:szCs w:val="18"/>
                <w:color w:val="auto"/>
              </w:rPr>
              <w:t>California</w:t>
            </w:r>
          </w:p>
        </w:tc>
        <w:tc>
          <w:tcPr>
            <w:tcW w:w="88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34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4,518,264</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right w:val="single" w:sz="8" w:color="auto"/>
            </w:tcBorders>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340" w:type="dxa"/>
            <w:vAlign w:val="bottom"/>
            <w:tcBorders>
              <w:right w:val="single" w:sz="8" w:color="auto"/>
            </w:tcBorders>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6</w:t>
            </w:r>
          </w:p>
        </w:tc>
        <w:tc>
          <w:tcPr>
            <w:tcW w:w="8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OWNED BY</w:t>
            </w:r>
          </w:p>
        </w:tc>
        <w:tc>
          <w:tcPr>
            <w:tcW w:w="88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3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EACH</w:t>
            </w: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7</w:t>
            </w:r>
          </w:p>
        </w:tc>
        <w:tc>
          <w:tcPr>
            <w:tcW w:w="8200" w:type="dxa"/>
            <w:vAlign w:val="bottom"/>
          </w:tcPr>
          <w:p>
            <w:pPr>
              <w:ind w:left="40"/>
              <w:spacing w:after="0" w:line="20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8"/>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880" w:type="dxa"/>
            <w:vAlign w:val="bottom"/>
            <w:tcBorders>
              <w:right w:val="single" w:sz="8" w:color="auto"/>
            </w:tcBorders>
            <w:vMerge w:val="continue"/>
          </w:tcPr>
          <w:p>
            <w:pPr>
              <w:spacing w:after="0"/>
              <w:rPr>
                <w:sz w:val="18"/>
                <w:szCs w:val="18"/>
                <w:color w:val="auto"/>
              </w:rPr>
            </w:pPr>
          </w:p>
        </w:tc>
        <w:tc>
          <w:tcPr>
            <w:tcW w:w="8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880" w:type="dxa"/>
            <w:vAlign w:val="bottom"/>
            <w:tcBorders>
              <w:right w:val="single" w:sz="8" w:color="auto"/>
            </w:tcBorders>
          </w:tcPr>
          <w:p>
            <w:pPr>
              <w:spacing w:after="0"/>
              <w:rPr>
                <w:sz w:val="18"/>
                <w:szCs w:val="18"/>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4,518,264</w:t>
            </w:r>
          </w:p>
        </w:tc>
        <w:tc>
          <w:tcPr>
            <w:tcW w:w="0" w:type="dxa"/>
            <w:vAlign w:val="bottom"/>
          </w:tcPr>
          <w:p>
            <w:pPr>
              <w:spacing w:after="0"/>
              <w:rPr>
                <w:sz w:val="1"/>
                <w:szCs w:val="1"/>
                <w:color w:val="auto"/>
              </w:rPr>
            </w:pPr>
          </w:p>
        </w:tc>
      </w:tr>
      <w:tr>
        <w:trPr>
          <w:trHeight w:val="102"/>
        </w:trPr>
        <w:tc>
          <w:tcPr>
            <w:tcW w:w="2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880" w:type="dxa"/>
            <w:vAlign w:val="bottom"/>
            <w:tcBorders>
              <w:bottom w:val="single" w:sz="8" w:color="auto"/>
              <w:right w:val="single" w:sz="8" w:color="auto"/>
            </w:tcBorders>
          </w:tcPr>
          <w:p>
            <w:pPr>
              <w:spacing w:after="0"/>
              <w:rPr>
                <w:sz w:val="8"/>
                <w:szCs w:val="8"/>
                <w:color w:val="auto"/>
              </w:rPr>
            </w:pPr>
          </w:p>
        </w:tc>
        <w:tc>
          <w:tcPr>
            <w:tcW w:w="82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34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74"/>
              <w:spacing w:after="0"/>
              <w:rPr>
                <w:sz w:val="20"/>
                <w:szCs w:val="20"/>
                <w:color w:val="auto"/>
              </w:rPr>
            </w:pPr>
            <w:r>
              <w:rPr>
                <w:rFonts w:ascii="Arial" w:cs="Arial" w:eastAsia="Arial" w:hAnsi="Arial"/>
                <w:sz w:val="25"/>
                <w:szCs w:val="25"/>
                <w:color w:val="auto"/>
              </w:rPr>
              <w:t>8</w:t>
            </w: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8"/>
        </w:trPr>
        <w:tc>
          <w:tcPr>
            <w:tcW w:w="23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8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234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820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67"/>
        </w:trPr>
        <w:tc>
          <w:tcPr>
            <w:tcW w:w="234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8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34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8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AGGREGATE AMOUNT BENEFICIALLY OWNED BY EACH REPORTING PERSON</w:t>
      </w:r>
    </w:p>
    <w:p>
      <w:pPr>
        <w:ind w:left="400"/>
        <w:spacing w:after="0" w:line="211" w:lineRule="auto"/>
        <w:rPr>
          <w:sz w:val="20"/>
          <w:szCs w:val="20"/>
          <w:color w:val="auto"/>
        </w:rPr>
      </w:pPr>
      <w:r>
        <w:rPr>
          <w:rFonts w:ascii="Arial" w:cs="Arial" w:eastAsia="Arial" w:hAnsi="Arial"/>
          <w:sz w:val="25"/>
          <w:szCs w:val="25"/>
          <w:color w:val="auto"/>
        </w:rPr>
        <w:t>9</w:t>
      </w:r>
    </w:p>
    <w:p>
      <w:pPr>
        <w:ind w:left="960"/>
        <w:spacing w:after="0"/>
        <w:rPr>
          <w:sz w:val="20"/>
          <w:szCs w:val="20"/>
          <w:color w:val="auto"/>
        </w:rPr>
      </w:pPr>
      <w:r>
        <w:rPr>
          <w:rFonts w:ascii="Arial" w:cs="Arial" w:eastAsia="Arial" w:hAnsi="Arial"/>
          <w:sz w:val="18"/>
          <w:szCs w:val="18"/>
          <w:color w:val="auto"/>
        </w:rPr>
        <w:t>4,518,264</w:t>
      </w:r>
    </w:p>
    <w:p>
      <w:pPr>
        <w:spacing w:after="0" w:line="89" w:lineRule="exact"/>
        <w:rPr>
          <w:sz w:val="20"/>
          <w:szCs w:val="20"/>
          <w:color w:val="auto"/>
        </w:rPr>
      </w:pPr>
    </w:p>
    <w:p>
      <w:pPr>
        <w:ind w:left="960"/>
        <w:spacing w:after="0"/>
        <w:tabs>
          <w:tab w:leader="none" w:pos="11000" w:val="left"/>
        </w:tabs>
        <w:rPr>
          <w:sz w:val="20"/>
          <w:szCs w:val="20"/>
          <w:color w:val="auto"/>
        </w:rPr>
      </w:pPr>
      <w:r>
        <w:rPr>
          <w:rFonts w:ascii="Arial" w:cs="Arial" w:eastAsia="Arial" w:hAnsi="Arial"/>
          <w:sz w:val="18"/>
          <w:szCs w:val="18"/>
          <w:color w:val="auto"/>
        </w:rPr>
        <w:t>CHECK IF THE AGGREGATE AMOUNT IN ROW (9) EXCLUDES CERTAIN SHARES (See Instructions)</w:t>
      </w:r>
      <w:r>
        <w:rPr>
          <w:sz w:val="20"/>
          <w:szCs w:val="20"/>
          <w:color w:val="auto"/>
        </w:rPr>
        <w:tab/>
      </w:r>
      <w:r>
        <w:rPr>
          <w:rFonts w:ascii="Arial" w:cs="Arial" w:eastAsia="Arial" w:hAnsi="Arial"/>
          <w:sz w:val="17"/>
          <w:szCs w:val="17"/>
          <w:color w:val="auto"/>
        </w:rPr>
        <w:t>o</w:t>
      </w:r>
    </w:p>
    <w:p>
      <w:pPr>
        <w:ind w:left="340"/>
        <w:spacing w:after="0"/>
        <w:rPr>
          <w:sz w:val="20"/>
          <w:szCs w:val="20"/>
          <w:color w:val="auto"/>
        </w:rPr>
      </w:pPr>
      <w:r>
        <w:rPr>
          <w:rFonts w:ascii="Arial" w:cs="Arial" w:eastAsia="Arial" w:hAnsi="Arial"/>
          <w:sz w:val="25"/>
          <w:szCs w:val="25"/>
          <w:color w:val="auto"/>
        </w:rPr>
        <w:t>10</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PERCENT OF CLASS REPRESENTED BY AMOUNT IN ROW (9)</w:t>
      </w:r>
    </w:p>
    <w:p>
      <w:pPr>
        <w:ind w:left="340"/>
        <w:spacing w:after="0" w:line="211" w:lineRule="auto"/>
        <w:rPr>
          <w:sz w:val="20"/>
          <w:szCs w:val="20"/>
          <w:color w:val="auto"/>
        </w:rPr>
      </w:pPr>
      <w:r>
        <w:rPr>
          <w:rFonts w:ascii="Arial" w:cs="Arial" w:eastAsia="Arial" w:hAnsi="Arial"/>
          <w:sz w:val="25"/>
          <w:szCs w:val="25"/>
          <w:color w:val="auto"/>
        </w:rPr>
        <w:t>11</w:t>
      </w:r>
    </w:p>
    <w:p>
      <w:pPr>
        <w:ind w:left="960"/>
        <w:spacing w:after="0"/>
        <w:rPr>
          <w:sz w:val="20"/>
          <w:szCs w:val="20"/>
          <w:color w:val="auto"/>
        </w:rPr>
      </w:pPr>
      <w:r>
        <w:rPr>
          <w:rFonts w:ascii="Arial" w:cs="Arial" w:eastAsia="Arial" w:hAnsi="Arial"/>
          <w:sz w:val="18"/>
          <w:szCs w:val="18"/>
          <w:color w:val="auto"/>
        </w:rPr>
        <w:t>6.21%</w:t>
      </w:r>
    </w:p>
    <w:p>
      <w:pPr>
        <w:spacing w:after="0" w:line="8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TYPE OF REPORTING PERSON (See Instructions)</w:t>
      </w:r>
    </w:p>
    <w:p>
      <w:pPr>
        <w:ind w:left="340"/>
        <w:spacing w:after="0" w:line="211" w:lineRule="auto"/>
        <w:rPr>
          <w:sz w:val="20"/>
          <w:szCs w:val="20"/>
          <w:color w:val="auto"/>
        </w:rPr>
      </w:pPr>
      <w:r>
        <w:rPr>
          <w:rFonts w:ascii="Arial" w:cs="Arial" w:eastAsia="Arial" w:hAnsi="Arial"/>
          <w:sz w:val="25"/>
          <w:szCs w:val="25"/>
          <w:color w:val="auto"/>
        </w:rPr>
        <w:t>12</w:t>
      </w:r>
    </w:p>
    <w:p>
      <w:pPr>
        <w:ind w:left="960"/>
        <w:spacing w:after="0"/>
        <w:rPr>
          <w:sz w:val="20"/>
          <w:szCs w:val="20"/>
          <w:color w:val="auto"/>
        </w:rPr>
      </w:pPr>
      <w:r>
        <w:rPr>
          <w:rFonts w:ascii="Arial" w:cs="Arial" w:eastAsia="Arial" w:hAnsi="Arial"/>
          <w:sz w:val="18"/>
          <w:szCs w:val="18"/>
          <w:color w:val="auto"/>
        </w:rPr>
        <w:t>IA</w:t>
      </w:r>
    </w:p>
    <w:p>
      <w:pPr>
        <w:sectPr>
          <w:pgSz w:w="11900" w:h="16838" w:orient="portrait"/>
          <w:cols w:equalWidth="0" w:num="1">
            <w:col w:w="11420"/>
          </w:cols>
          <w:pgMar w:left="240" w:top="690" w:right="239" w:bottom="1440" w:gutter="0" w:footer="0" w:header="0"/>
        </w:sectPr>
      </w:pPr>
    </w:p>
    <w:bookmarkStart w:id="2" w:name="page3"/>
    <w:bookmarkEnd w:id="2"/>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697435105</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8"/>
                <w:szCs w:val="18"/>
                <w:b w:val="1"/>
                <w:bCs w:val="1"/>
                <w:color w:val="auto"/>
                <w:w w:val="95"/>
              </w:rPr>
              <w:t>Page 3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(a) Name of Issuer</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Palo Alto Networks, Inc.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4401 Great America Parkway, Santa Clara, CA 95054</w:t>
      </w:r>
    </w:p>
    <w:p>
      <w:pPr>
        <w:spacing w:after="0" w:line="113"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(a) Name of Person Filing</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Criterion Capital Management LLC</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21" w:lineRule="exact"/>
        <w:rPr>
          <w:sz w:val="20"/>
          <w:szCs w:val="20"/>
          <w:color w:val="auto"/>
        </w:rPr>
      </w:pPr>
    </w:p>
    <w:p>
      <w:pPr>
        <w:jc w:val="right"/>
        <w:ind w:right="5940"/>
        <w:spacing w:after="0"/>
        <w:rPr>
          <w:sz w:val="20"/>
          <w:szCs w:val="20"/>
          <w:color w:val="auto"/>
        </w:rPr>
      </w:pPr>
      <w:r>
        <w:rPr>
          <w:rFonts w:ascii="Arial" w:cs="Arial" w:eastAsia="Arial" w:hAnsi="Arial"/>
          <w:sz w:val="18"/>
          <w:szCs w:val="18"/>
          <w:color w:val="auto"/>
        </w:rPr>
        <w:t>Four Embarcadero Center, 34th Floor , San Francisco, CA 94111</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California</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Common Stock</w:t>
      </w:r>
    </w:p>
    <w:p>
      <w:pPr>
        <w:spacing w:after="0" w:line="113"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697435105</w:t>
      </w:r>
    </w:p>
    <w:p>
      <w:pPr>
        <w:sectPr>
          <w:pgSz w:w="11900" w:h="16838" w:orient="portrait"/>
          <w:cols w:equalWidth="0" w:num="1">
            <w:col w:w="11420"/>
          </w:cols>
          <w:pgMar w:left="240" w:top="690" w:right="239" w:bottom="1440" w:gutter="0" w:footer="0" w:header="0"/>
        </w:sectPr>
      </w:pPr>
    </w:p>
    <w:bookmarkStart w:id="3" w:name="page4"/>
    <w:bookmarkEnd w:id="3"/>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697435105</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4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9" w:lineRule="exact"/>
        <w:rPr>
          <w:sz w:val="20"/>
          <w:szCs w:val="20"/>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Broker or dealer registered under section 15 of the Act (15 U.S.C. 78o);</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Bank as defined in section 3(a)(6)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Insurance company as defined in section 3(a)(19) of the Act (15 U.S.C. 78c);</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57" w:lineRule="exact"/>
        <w:rPr>
          <w:rFonts w:ascii="Arial" w:cs="Arial" w:eastAsia="Arial" w:hAnsi="Arial"/>
          <w:sz w:val="18"/>
          <w:szCs w:val="18"/>
          <w:color w:val="auto"/>
        </w:rPr>
      </w:pPr>
    </w:p>
    <w:p>
      <w:pPr>
        <w:ind w:left="600" w:hanging="295"/>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x   An investment adviser in accordance with §240.13d-1(b)(1)(ii)(E);</w:t>
      </w:r>
    </w:p>
    <w:p>
      <w:pPr>
        <w:spacing w:after="0" w:line="104"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An employee benefit plan or endowment fund in accordance with §240.13d-1(b)(1)(ii)(F);</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parent holding company or control person in accordance with §240.13d-1(b)(1)(ii)(G);</w:t>
      </w:r>
    </w:p>
    <w:p>
      <w:pPr>
        <w:spacing w:after="0" w:line="130"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81" w:lineRule="exact"/>
        <w:rPr>
          <w:rFonts w:ascii="Arial" w:cs="Arial" w:eastAsia="Arial" w:hAnsi="Arial"/>
          <w:sz w:val="18"/>
          <w:szCs w:val="18"/>
          <w:color w:val="auto"/>
        </w:rPr>
      </w:pPr>
    </w:p>
    <w:p>
      <w:pPr>
        <w:ind w:left="600" w:hanging="295"/>
        <w:spacing w:after="0" w:line="207" w:lineRule="exact"/>
        <w:tabs>
          <w:tab w:leader="none" w:pos="600"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non-U.S. institution in accordance with §240.13d-1(b)(1)(ii)(J);</w:t>
      </w:r>
    </w:p>
    <w:p>
      <w:pPr>
        <w:spacing w:after="0" w:line="130" w:lineRule="exact"/>
        <w:rPr>
          <w:rFonts w:ascii="Arial" w:cs="Arial" w:eastAsia="Arial" w:hAnsi="Arial"/>
          <w:sz w:val="18"/>
          <w:szCs w:val="18"/>
          <w:color w:val="auto"/>
        </w:rPr>
      </w:pPr>
    </w:p>
    <w:p>
      <w:pPr>
        <w:ind w:left="900" w:right="80" w:hanging="595"/>
        <w:spacing w:after="0" w:line="237" w:lineRule="exact"/>
        <w:tabs>
          <w:tab w:leader="none" w:pos="603" w:val="left"/>
        </w:tabs>
        <w:numPr>
          <w:ilvl w:val="0"/>
          <w:numId w:val="3"/>
        </w:numPr>
        <w:rPr>
          <w:rFonts w:ascii="Arial" w:cs="Arial" w:eastAsia="Arial" w:hAnsi="Arial"/>
          <w:sz w:val="18"/>
          <w:szCs w:val="18"/>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-24765</wp:posOffset>
            </wp:positionV>
            <wp:extent cx="8001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ectPr>
          <w:pgSz w:w="11900" w:h="16838" w:orient="portrait"/>
          <w:cols w:equalWidth="0" w:num="1">
            <w:col w:w="11420"/>
          </w:cols>
          <w:pgMar w:left="240" w:top="690" w:right="239" w:bottom="1440" w:gutter="0" w:footer="0" w:header="0"/>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697435105</w:t>
            </w:r>
          </w:p>
        </w:tc>
        <w:tc>
          <w:tcPr>
            <w:tcW w:w="458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1940"/>
              <w:spacing w:after="0"/>
              <w:rPr>
                <w:sz w:val="20"/>
                <w:szCs w:val="20"/>
                <w:color w:val="auto"/>
              </w:rPr>
            </w:pPr>
            <w:r>
              <w:rPr>
                <w:rFonts w:ascii="Arial" w:cs="Arial" w:eastAsia="Arial" w:hAnsi="Arial"/>
                <w:sz w:val="18"/>
                <w:szCs w:val="18"/>
                <w:b w:val="1"/>
                <w:bCs w:val="1"/>
                <w:color w:val="auto"/>
                <w:w w:val="92"/>
              </w:rPr>
              <w:t>Page 5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29" w:lineRule="exact"/>
        <w:rPr>
          <w:sz w:val="20"/>
          <w:szCs w:val="20"/>
          <w:color w:val="auto"/>
        </w:rPr>
      </w:pPr>
    </w:p>
    <w:p>
      <w:pPr>
        <w:jc w:val="both"/>
        <w:ind w:left="800"/>
        <w:spacing w:after="0" w:line="259" w:lineRule="auto"/>
        <w:rPr>
          <w:sz w:val="20"/>
          <w:szCs w:val="20"/>
          <w:color w:val="auto"/>
        </w:rPr>
      </w:pPr>
      <w:r>
        <w:rPr>
          <w:rFonts w:ascii="Arial" w:cs="Arial" w:eastAsia="Arial" w:hAnsi="Arial"/>
          <w:sz w:val="18"/>
          <w:szCs w:val="18"/>
          <w:color w:val="auto"/>
        </w:rPr>
        <w:t>The Reporting Persons may be deemed to be the beneficial owners of 4,518,264 shares of common stock, which includes 288,500 shares of common stock if 2,885 options were exercised. The percentage of beneficial ownership herein is determined by dividing the number of shares beneficially owned by Criterion Capital Management LLC, 4,518,264, by the number of shares outstanding at December 31, 2013, 72,491,140 plus 288,500 the number of shares that could be acquired if certain options were exercised.</w:t>
      </w:r>
    </w:p>
    <w:p>
      <w:pPr>
        <w:spacing w:after="0" w:line="295" w:lineRule="exact"/>
        <w:rPr>
          <w:sz w:val="20"/>
          <w:szCs w:val="20"/>
          <w:color w:val="auto"/>
        </w:rPr>
      </w:pPr>
    </w:p>
    <w:p>
      <w:pPr>
        <w:ind w:left="1040" w:hanging="24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4,518,264</w:t>
      </w:r>
    </w:p>
    <w:p>
      <w:pPr>
        <w:spacing w:after="0" w:line="184" w:lineRule="exact"/>
        <w:rPr>
          <w:rFonts w:ascii="Arial" w:cs="Arial" w:eastAsia="Arial" w:hAnsi="Arial"/>
          <w:sz w:val="18"/>
          <w:szCs w:val="18"/>
          <w:color w:val="auto"/>
        </w:rPr>
      </w:pPr>
    </w:p>
    <w:p>
      <w:pPr>
        <w:ind w:left="1060" w:hanging="260"/>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6.21%</w:t>
      </w:r>
    </w:p>
    <w:p>
      <w:pPr>
        <w:spacing w:after="0" w:line="198" w:lineRule="exact"/>
        <w:rPr>
          <w:rFonts w:ascii="Arial" w:cs="Arial" w:eastAsia="Arial" w:hAnsi="Arial"/>
          <w:sz w:val="18"/>
          <w:szCs w:val="18"/>
          <w:color w:val="auto"/>
        </w:rPr>
      </w:pPr>
    </w:p>
    <w:p>
      <w:pPr>
        <w:ind w:left="1040" w:hanging="240"/>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84" w:lineRule="exact"/>
        <w:rPr>
          <w:rFonts w:ascii="Arial" w:cs="Arial" w:eastAsia="Arial" w:hAnsi="Arial"/>
          <w:sz w:val="18"/>
          <w:szCs w:val="18"/>
          <w:color w:val="auto"/>
        </w:rPr>
      </w:pPr>
    </w:p>
    <w:p>
      <w:pPr>
        <w:ind w:left="1800" w:hanging="207"/>
        <w:spacing w:after="0"/>
        <w:tabs>
          <w:tab w:leader="none" w:pos="18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4,518,264</w:t>
      </w:r>
    </w:p>
    <w:p>
      <w:pPr>
        <w:spacing w:after="0" w:line="184" w:lineRule="exact"/>
        <w:rPr>
          <w:rFonts w:ascii="Arial" w:cs="Arial" w:eastAsia="Arial" w:hAnsi="Arial"/>
          <w:sz w:val="18"/>
          <w:szCs w:val="18"/>
          <w:color w:val="auto"/>
        </w:rPr>
      </w:pPr>
    </w:p>
    <w:p>
      <w:pPr>
        <w:ind w:left="1860" w:hanging="267"/>
        <w:spacing w:after="0"/>
        <w:tabs>
          <w:tab w:leader="none" w:pos="18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98" w:lineRule="exact"/>
        <w:rPr>
          <w:rFonts w:ascii="Arial" w:cs="Arial" w:eastAsia="Arial" w:hAnsi="Arial"/>
          <w:sz w:val="18"/>
          <w:szCs w:val="18"/>
          <w:color w:val="auto"/>
        </w:rPr>
      </w:pPr>
    </w:p>
    <w:p>
      <w:pPr>
        <w:ind w:left="1900" w:hanging="30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4,518,264</w:t>
      </w:r>
    </w:p>
    <w:p>
      <w:pPr>
        <w:spacing w:after="0" w:line="184" w:lineRule="exact"/>
        <w:rPr>
          <w:rFonts w:ascii="Arial" w:cs="Arial" w:eastAsia="Arial" w:hAnsi="Arial"/>
          <w:sz w:val="18"/>
          <w:szCs w:val="18"/>
          <w:color w:val="auto"/>
        </w:rPr>
      </w:pPr>
    </w:p>
    <w:p>
      <w:pPr>
        <w:ind w:left="1900" w:hanging="307"/>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jc w:val="both"/>
        <w:ind w:left="8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5 percent of the class of securities, check the following [ ].</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1300" w:hanging="1296"/>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jc w:val="both"/>
        <w:ind w:left="8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906" w:right="2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4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CUSIP No. 697435105</w:t>
            </w:r>
          </w:p>
        </w:tc>
        <w:tc>
          <w:tcPr>
            <w:tcW w:w="4580" w:type="dxa"/>
            <w:vAlign w:val="bottom"/>
            <w:tcBorders>
              <w:right w:val="single" w:sz="8" w:color="auto"/>
            </w:tcBorders>
          </w:tcPr>
          <w:p>
            <w:pPr>
              <w:ind w:left="1640"/>
              <w:spacing w:after="0"/>
              <w:rPr>
                <w:sz w:val="20"/>
                <w:szCs w:val="20"/>
                <w:color w:val="auto"/>
              </w:rPr>
            </w:pPr>
            <w:r>
              <w:rPr>
                <w:rFonts w:ascii="Arial" w:cs="Arial" w:eastAsia="Arial" w:hAnsi="Arial"/>
                <w:sz w:val="18"/>
                <w:szCs w:val="18"/>
                <w:b w:val="1"/>
                <w:bCs w:val="1"/>
                <w:color w:val="auto"/>
              </w:rPr>
              <w:t>SCHEDULE 13G</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b w:val="1"/>
                <w:bCs w:val="1"/>
                <w:color w:val="auto"/>
                <w:w w:val="88"/>
              </w:rPr>
              <w:t>Page 6 of 6 Pages</w:t>
            </w:r>
          </w:p>
        </w:tc>
      </w:tr>
      <w:tr>
        <w:trPr>
          <w:trHeight w:val="112"/>
        </w:trPr>
        <w:tc>
          <w:tcPr>
            <w:tcW w:w="3420" w:type="dxa"/>
            <w:vAlign w:val="bottom"/>
            <w:tcBorders>
              <w:left w:val="single" w:sz="8" w:color="auto"/>
              <w:bottom w:val="single" w:sz="8" w:color="auto"/>
              <w:right w:val="single" w:sz="8" w:color="auto"/>
            </w:tcBorders>
          </w:tcPr>
          <w:p>
            <w:pPr>
              <w:spacing w:after="0"/>
              <w:rPr>
                <w:sz w:val="9"/>
                <w:szCs w:val="9"/>
                <w:color w:val="auto"/>
              </w:rPr>
            </w:pPr>
          </w:p>
        </w:tc>
        <w:tc>
          <w:tcPr>
            <w:tcW w:w="4580" w:type="dxa"/>
            <w:vAlign w:val="bottom"/>
            <w:tcBorders>
              <w:right w:val="single" w:sz="8" w:color="auto"/>
            </w:tcBorders>
          </w:tcPr>
          <w:p>
            <w:pPr>
              <w:spacing w:after="0"/>
              <w:rPr>
                <w:sz w:val="9"/>
                <w:szCs w:val="9"/>
                <w:color w:val="auto"/>
              </w:rPr>
            </w:pPr>
          </w:p>
        </w:tc>
        <w:tc>
          <w:tcPr>
            <w:tcW w:w="340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2014</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Criterion Capital Management LLC</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Chris Lord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Chris 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Portfolio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14605</wp:posOffset>
            </wp:positionV>
            <wp:extent cx="30873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87370" cy="8890"/>
                    </a:xfrm>
                    <a:prstGeom prst="rect">
                      <a:avLst/>
                    </a:prstGeom>
                    <a:noFill/>
                  </pic:spPr>
                </pic:pic>
              </a:graphicData>
            </a:graphic>
          </wp:anchor>
        </w:drawing>
        <w:drawing>
          <wp:anchor simplePos="0" relativeHeight="251657728" behindDoc="1" locked="0" layoutInCell="0" allowOverlap="1">
            <wp:simplePos x="0" y="0"/>
            <wp:positionH relativeFrom="column">
              <wp:posOffset>4164330</wp:posOffset>
            </wp:positionH>
            <wp:positionV relativeFrom="paragraph">
              <wp:posOffset>-130810</wp:posOffset>
            </wp:positionV>
            <wp:extent cx="3087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sectPr>
      <w:pgSz w:w="11900" w:h="16838" w:orient="portrait"/>
      <w:cols w:equalWidth="0" w:num="1">
        <w:col w:w="11420"/>
      </w:cols>
      <w:pgMar w:left="240" w:top="4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2"/>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2019-12-07T10:09:32Z</dcterms:created>
  <dcterms:modified xsi:type="dcterms:W3CDTF">2019-12-07T10:09:32Z</dcterms:modified>
</cp:coreProperties>
</file>