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Montserrat;sans-serif" w:hAnsi="Montserrat;sans-serif"/>
          <w:b/>
          <w:color w:val="000000"/>
          <w:sz w:val="36"/>
        </w:rPr>
      </w:pPr>
      <w:r>
        <w:rPr>
          <w:rFonts w:ascii="Montserrat;sans-serif" w:hAnsi="Montserrat;sans-serif"/>
          <w:b/>
          <w:color w:val="000000"/>
          <w:sz w:val="36"/>
        </w:rPr>
        <w:t xml:space="preserve">UNITED STATES </w:t>
      </w:r>
    </w:p>
    <w:p>
      <w:pPr>
        <w:pStyle w:val="TextBody"/>
        <w:bidi w:val="0"/>
        <w:spacing w:lineRule="auto" w:line="288" w:before="0" w:after="0"/>
        <w:jc w:val="center"/>
        <w:rPr>
          <w:rFonts w:ascii="Montserrat;sans-serif" w:hAnsi="Montserrat;sans-serif"/>
          <w:b/>
          <w:color w:val="000000"/>
          <w:sz w:val="36"/>
        </w:rPr>
      </w:pPr>
      <w:r>
        <w:rPr>
          <w:rFonts w:ascii="Montserrat;sans-serif" w:hAnsi="Montserrat;sans-serif"/>
          <w:b/>
          <w:color w:val="000000"/>
          <w:sz w:val="36"/>
        </w:rPr>
        <w:t xml:space="preserve">SECURITIES AND EXCHANGE COMMISSION </w:t>
      </w:r>
    </w:p>
    <w:p>
      <w:pPr>
        <w:pStyle w:val="TextBody"/>
        <w:bidi w:val="0"/>
        <w:spacing w:lineRule="auto" w:line="288" w:before="0" w:after="120"/>
        <w:jc w:val="center"/>
        <w:rPr>
          <w:rFonts w:ascii="Montserrat;sans-serif" w:hAnsi="Montserrat;sans-serif"/>
          <w:b/>
          <w:color w:val="000000"/>
          <w:sz w:val="24"/>
        </w:rPr>
      </w:pPr>
      <w:r>
        <w:rPr>
          <w:rFonts w:ascii="Montserrat;sans-serif" w:hAnsi="Montserrat;sans-serif"/>
          <w:b/>
          <w:color w:val="000000"/>
          <w:sz w:val="24"/>
        </w:rPr>
        <w:t xml:space="preserve">Washington, D.C. 20549 </w:t>
      </w:r>
    </w:p>
    <w:p>
      <w:pPr>
        <w:pStyle w:val="TextBody"/>
        <w:bidi w:val="0"/>
        <w:spacing w:lineRule="auto" w:line="288"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 </w:t>
      </w:r>
    </w:p>
    <w:p>
      <w:pPr>
        <w:pStyle w:val="TextBody"/>
        <w:bidi w:val="0"/>
        <w:spacing w:lineRule="auto" w:line="288" w:before="180" w:after="120"/>
        <w:jc w:val="center"/>
        <w:rPr>
          <w:rFonts w:ascii="Montserrat;sans-serif" w:hAnsi="Montserrat;sans-serif"/>
          <w:b/>
          <w:color w:val="000000"/>
          <w:sz w:val="36"/>
        </w:rPr>
      </w:pPr>
      <w:r>
        <w:rPr>
          <w:rFonts w:ascii="Montserrat;sans-serif" w:hAnsi="Montserrat;sans-serif"/>
          <w:b/>
          <w:color w:val="000000"/>
          <w:sz w:val="36"/>
        </w:rPr>
        <w:t>FORM 10-K</w:t>
      </w:r>
    </w:p>
    <w:p>
      <w:pPr>
        <w:pStyle w:val="TextBody"/>
        <w:bidi w:val="0"/>
        <w:spacing w:lineRule="auto" w:line="288"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w:t>
      </w:r>
    </w:p>
    <w:p>
      <w:pPr>
        <w:pStyle w:val="TextBody"/>
        <w:bidi w:val="0"/>
        <w:spacing w:lineRule="auto" w:line="288" w:before="90" w:after="120"/>
        <w:jc w:val="left"/>
        <w:rPr>
          <w:rFonts w:ascii="Montserrat;sans-serif" w:hAnsi="Montserrat;sans-serif"/>
          <w:b/>
          <w:color w:val="000000"/>
          <w:sz w:val="18"/>
        </w:rPr>
      </w:pPr>
      <w:r>
        <w:rPr>
          <w:rFonts w:ascii="Montserrat;sans-serif" w:hAnsi="Montserrat;sans-serif"/>
          <w:b/>
          <w:color w:val="000000"/>
          <w:sz w:val="18"/>
        </w:rPr>
        <w:t xml:space="preserve">(Mark One) </w:t>
      </w:r>
    </w:p>
    <w:p>
      <w:pPr>
        <w:pStyle w:val="TextBody"/>
        <w:bidi w:val="0"/>
        <w:spacing w:lineRule="auto" w:line="288" w:before="60" w:after="120"/>
        <w:ind w:left="0" w:right="0" w:hanging="450"/>
        <w:jc w:val="left"/>
        <w:rPr/>
      </w:pPr>
      <w:r>
        <w:rPr>
          <w:color w:val="000000"/>
        </w:rPr>
        <w:t>☒    </w:t>
      </w:r>
      <w:r>
        <w:rPr>
          <w:rFonts w:ascii="Montserrat;sans-serif" w:hAnsi="Montserrat;sans-serif"/>
          <w:b/>
          <w:color w:val="000000"/>
          <w:sz w:val="18"/>
        </w:rPr>
        <w:t>ANNUAL REPORT PURSUANT TO SECTION 13 OR 15(d) OF THE SECURITIES EXCHANGE ACT OF 1934</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For the fiscal year ended July 31, 2025</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 xml:space="preserve">or </w:t>
      </w:r>
    </w:p>
    <w:p>
      <w:pPr>
        <w:pStyle w:val="TextBody"/>
        <w:bidi w:val="0"/>
        <w:spacing w:lineRule="auto" w:line="288" w:before="60" w:after="120"/>
        <w:ind w:left="0" w:right="0" w:hanging="450"/>
        <w:jc w:val="left"/>
        <w:rPr/>
      </w:pPr>
      <w:r>
        <w:rPr>
          <w:color w:val="000000"/>
        </w:rPr>
        <w:t>☐    </w:t>
      </w:r>
      <w:r>
        <w:rPr>
          <w:rFonts w:ascii="Montserrat;sans-serif" w:hAnsi="Montserrat;sans-serif"/>
          <w:b/>
          <w:color w:val="000000"/>
          <w:sz w:val="18"/>
        </w:rPr>
        <w:t xml:space="preserve">TRANSITION REPORT PURSUANT TO SECTION 13 OR 15(d) OF THE SECURITIES EXCHANGE ACT OF 1934 </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 xml:space="preserve">For the transition period from             to              </w:t>
      </w:r>
    </w:p>
    <w:p>
      <w:pPr>
        <w:pStyle w:val="TextBody"/>
        <w:bidi w:val="0"/>
        <w:spacing w:lineRule="auto" w:line="288" w:before="120" w:after="40"/>
        <w:jc w:val="center"/>
        <w:rPr>
          <w:rFonts w:ascii="Montserrat;sans-serif" w:hAnsi="Montserrat;sans-serif"/>
          <w:b/>
          <w:color w:val="000000"/>
          <w:sz w:val="18"/>
        </w:rPr>
      </w:pPr>
      <w:r>
        <w:rPr>
          <w:rFonts w:ascii="Montserrat;sans-serif" w:hAnsi="Montserrat;sans-serif"/>
          <w:b/>
          <w:color w:val="000000"/>
          <w:sz w:val="18"/>
        </w:rPr>
        <w:t xml:space="preserve">Commission File Number 001-35594 </w:t>
      </w:r>
    </w:p>
    <w:p>
      <w:pPr>
        <w:pStyle w:val="TextBody"/>
        <w:bidi w:val="0"/>
        <w:spacing w:lineRule="auto" w:line="288" w:before="0" w:after="0"/>
        <w:jc w:val="center"/>
        <w:rPr>
          <w:rFonts w:ascii="Montserrat;sans-serif" w:hAnsi="Montserrat;sans-serif"/>
          <w:b/>
          <w:color w:val="000000"/>
          <w:sz w:val="44"/>
        </w:rPr>
      </w:pPr>
      <w:r>
        <w:rPr>
          <w:rFonts w:ascii="Montserrat;sans-serif" w:hAnsi="Montserrat;sans-serif"/>
          <w:b/>
          <w:color w:val="000000"/>
          <w:sz w:val="44"/>
        </w:rPr>
        <w:t xml:space="preserve">Palo Alto Networks, Inc. </w:t>
      </w:r>
    </w:p>
    <w:p>
      <w:pPr>
        <w:pStyle w:val="TextBody"/>
        <w:bidi w:val="0"/>
        <w:spacing w:lineRule="auto" w:line="288" w:before="0" w:after="120"/>
        <w:jc w:val="center"/>
        <w:rPr>
          <w:rFonts w:ascii="Montserrat;sans-serif" w:hAnsi="Montserrat;sans-serif"/>
          <w:b/>
          <w:color w:val="000000"/>
          <w:sz w:val="18"/>
        </w:rPr>
      </w:pPr>
      <w:r>
        <w:rPr>
          <w:rFonts w:ascii="Montserrat;sans-serif" w:hAnsi="Montserrat;sans-serif"/>
          <w:b/>
          <w:color w:val="000000"/>
          <w:sz w:val="18"/>
        </w:rPr>
        <w:t>(Exact name of registrant as specified in its charter)</w:t>
      </w:r>
    </w:p>
    <w:tbl>
      <w:tblPr>
        <w:tblW w:w="3793" w:type="dxa"/>
        <w:jc w:val="center"/>
        <w:tblInd w:w="0" w:type="dxa"/>
        <w:tblLayout w:type="fixed"/>
        <w:tblCellMar>
          <w:top w:w="28" w:type="dxa"/>
          <w:left w:w="28" w:type="dxa"/>
          <w:bottom w:w="28" w:type="dxa"/>
          <w:right w:w="28" w:type="dxa"/>
        </w:tblCellMar>
      </w:tblPr>
      <w:tblGrid>
        <w:gridCol w:w="834"/>
        <w:gridCol w:w="733"/>
        <w:gridCol w:w="742"/>
        <w:gridCol w:w="434"/>
        <w:gridCol w:w="434"/>
        <w:gridCol w:w="616"/>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20-2530195</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(State or other jurisdiction of</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(I.R.S. Employer</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Identification No.)</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Montserrat;sans-serif" w:hAnsi="Montserrat;sans-serif"/>
          <w:b/>
          <w:color w:val="000000"/>
          <w:sz w:val="18"/>
        </w:rPr>
      </w:pPr>
      <w:r>
        <w:rPr>
          <w:rFonts w:ascii="Montserrat;sans-serif" w:hAnsi="Montserrat;sans-serif"/>
          <w:b/>
          <w:color w:val="000000"/>
          <w:sz w:val="18"/>
        </w:rPr>
        <w:t xml:space="preserve">3000 Tannery Way </w:t>
      </w:r>
    </w:p>
    <w:p>
      <w:pPr>
        <w:pStyle w:val="TextBody"/>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 xml:space="preserve">Santa Clara, California 95054 </w:t>
      </w:r>
    </w:p>
    <w:p>
      <w:pPr>
        <w:pStyle w:val="TextBody"/>
        <w:bidi w:val="0"/>
        <w:spacing w:lineRule="auto" w:line="288" w:before="40" w:after="120"/>
        <w:jc w:val="center"/>
        <w:rPr>
          <w:rFonts w:ascii="Montserrat;sans-serif" w:hAnsi="Montserrat;sans-serif"/>
          <w:b/>
          <w:color w:val="000000"/>
          <w:sz w:val="14"/>
        </w:rPr>
      </w:pPr>
      <w:r>
        <w:rPr>
          <w:rFonts w:ascii="Montserrat;sans-serif" w:hAnsi="Montserrat;sans-serif"/>
          <w:b/>
          <w:color w:val="000000"/>
          <w:sz w:val="14"/>
        </w:rPr>
        <w:t>(Address of principal executive offices, including zip code)</w:t>
      </w:r>
    </w:p>
    <w:p>
      <w:pPr>
        <w:pStyle w:val="TextBody"/>
        <w:bidi w:val="0"/>
        <w:spacing w:lineRule="auto" w:line="288" w:before="120" w:after="283"/>
        <w:jc w:val="center"/>
        <w:rPr>
          <w:rFonts w:ascii="Montserrat;sans-serif" w:hAnsi="Montserrat;sans-serif"/>
          <w:b/>
          <w:color w:val="000000"/>
          <w:sz w:val="18"/>
        </w:rPr>
      </w:pPr>
      <w:r>
        <w:rPr>
          <w:rFonts w:ascii="Montserrat;sans-serif" w:hAnsi="Montserrat;sans-serif"/>
          <w:b/>
          <w:color w:val="000000"/>
          <w:sz w:val="18"/>
        </w:rPr>
        <w:t xml:space="preserve">(408) 753-4000 </w:t>
      </w:r>
    </w:p>
    <w:p>
      <w:pPr>
        <w:pStyle w:val="TextBody"/>
        <w:bidi w:val="0"/>
        <w:spacing w:lineRule="auto" w:line="288" w:before="40" w:after="120"/>
        <w:jc w:val="center"/>
        <w:rPr>
          <w:rFonts w:ascii="Montserrat;sans-serif" w:hAnsi="Montserrat;sans-serif"/>
          <w:b/>
          <w:color w:val="000000"/>
          <w:sz w:val="14"/>
        </w:rPr>
      </w:pPr>
      <w:r>
        <w:rPr>
          <w:rFonts w:ascii="Montserrat;sans-serif" w:hAnsi="Montserrat;sans-serif"/>
          <w:b/>
          <w:color w:val="000000"/>
          <w:sz w:val="14"/>
        </w:rPr>
        <w:t xml:space="preserve">(Registrant’s telephone number, including area code) </w:t>
      </w:r>
    </w:p>
    <w:p>
      <w:pPr>
        <w:pStyle w:val="TextBody"/>
        <w:bidi w:val="0"/>
        <w:spacing w:lineRule="auto" w:line="288" w:before="40" w:after="120"/>
        <w:jc w:val="center"/>
        <w:rPr>
          <w:rFonts w:ascii="Montserrat;sans-serif" w:hAnsi="Montserrat;sans-serif"/>
          <w:b/>
          <w:color w:val="000000"/>
          <w:sz w:val="18"/>
        </w:rPr>
      </w:pPr>
      <w:r>
        <w:rPr>
          <w:rFonts w:ascii="Montserrat;sans-serif" w:hAnsi="Montserrat;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335"/>
        <w:gridCol w:w="1160"/>
        <w:gridCol w:w="1171"/>
        <w:gridCol w:w="109"/>
        <w:gridCol w:w="109"/>
        <w:gridCol w:w="109"/>
        <w:gridCol w:w="592"/>
        <w:gridCol w:w="592"/>
        <w:gridCol w:w="593"/>
        <w:gridCol w:w="109"/>
        <w:gridCol w:w="109"/>
        <w:gridCol w:w="109"/>
        <w:gridCol w:w="1202"/>
        <w:gridCol w:w="1202"/>
        <w:gridCol w:w="1704"/>
      </w:tblGrid>
      <w:tr>
        <w:trPr/>
        <w:tc>
          <w:tcPr>
            <w:tcW w:w="13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 of each exchange on which registered</w:t>
            </w:r>
          </w:p>
        </w:tc>
      </w:tr>
      <w:tr>
        <w:trPr/>
        <w:tc>
          <w:tcPr>
            <w:tcW w:w="3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 xml:space="preserve">The Nasdaq Stock Market LLC </w:t>
            </w:r>
          </w:p>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(Nasdaq Global Select Market)</w:t>
            </w:r>
          </w:p>
        </w:tc>
      </w:tr>
    </w:tbl>
    <w:p>
      <w:pPr>
        <w:pStyle w:val="TextBody"/>
        <w:bidi w:val="0"/>
        <w:spacing w:lineRule="auto" w:line="288" w:before="120" w:after="40"/>
        <w:jc w:val="center"/>
        <w:rPr>
          <w:rFonts w:ascii="Montserrat;sans-serif" w:hAnsi="Montserrat;sans-serif"/>
          <w:b/>
          <w:color w:val="000000"/>
          <w:sz w:val="18"/>
        </w:rPr>
      </w:pPr>
      <w:r>
        <w:rPr>
          <w:rFonts w:ascii="Montserrat;sans-serif" w:hAnsi="Montserrat;sans-serif"/>
          <w:b/>
          <w:color w:val="000000"/>
          <w:sz w:val="18"/>
        </w:rPr>
        <w:t>Securities registered pursuant to Section 12(g) of the Act:</w:t>
      </w:r>
    </w:p>
    <w:p>
      <w:pPr>
        <w:pStyle w:val="TextBody"/>
        <w:bidi w:val="0"/>
        <w:spacing w:lineRule="auto" w:line="288" w:before="0" w:after="120"/>
        <w:jc w:val="center"/>
        <w:rPr>
          <w:rFonts w:ascii="Montserrat;sans-serif" w:hAnsi="Montserrat;sans-serif"/>
          <w:b w:val="false"/>
          <w:color w:val="000000"/>
          <w:sz w:val="18"/>
        </w:rPr>
      </w:pPr>
      <w:r>
        <w:rPr>
          <w:rFonts w:ascii="Montserrat;sans-serif" w:hAnsi="Montserrat;sans-serif"/>
          <w:b w:val="false"/>
          <w:color w:val="000000"/>
          <w:sz w:val="18"/>
        </w:rPr>
        <w:t>None</w:t>
      </w:r>
    </w:p>
    <w:p>
      <w:pPr>
        <w:pStyle w:val="TextBody"/>
        <w:bidi w:val="0"/>
        <w:spacing w:lineRule="auto" w:line="288" w:before="120" w:after="120"/>
        <w:jc w:val="left"/>
        <w:rPr/>
      </w:pPr>
      <w:r>
        <w:rPr>
          <w:rFonts w:ascii="Montserrat;sans-serif" w:hAnsi="Montserrat;sans-serif"/>
          <w:b w:val="false"/>
          <w:color w:val="000000"/>
          <w:sz w:val="18"/>
        </w:rPr>
        <w:t>Indicate by check mark if the registrant is a well-known seasoned issuer, as defined in Rule 405 of the Securities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if the registrant is not required to file reports pursuant to Section 13 or Section 15(d) of the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8"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120"/>
        <w:jc w:val="left"/>
        <w:rPr/>
      </w:pPr>
      <w:r>
        <w:rPr>
          <w:rFonts w:ascii="Montserrat;sans-serif" w:hAnsi="Montserrat;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is a shell company (as defined in Rule 12b-2 of the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aggregate market value of voting stock held by non-affiliates of the registrant was approximately $119.7 billion as of January 31, 2025, the last business day of the registrant’s most recently completed second fiscal quarter (based on the closing sales price for the common stock on the Nasdaq Global Select Market on such date). Shares of common stock held by each executive officer and director have been excluded in that such persons may be deemed to be affiliates. This determination of affiliate status is not necessarily a conclusive determination for other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August 18, 2025, 668.9 million shares of the registrant’s common stock, $0.0001 par value, were outstanding.</w:t>
      </w:r>
    </w:p>
    <w:p>
      <w:pPr>
        <w:pStyle w:val="TextBody"/>
        <w:bidi w:val="0"/>
        <w:spacing w:lineRule="auto" w:line="288" w:before="40" w:after="120"/>
        <w:jc w:val="center"/>
        <w:rPr>
          <w:rFonts w:ascii="Montserrat;sans-serif" w:hAnsi="Montserrat;sans-serif"/>
          <w:b/>
          <w:color w:val="000000"/>
          <w:sz w:val="18"/>
        </w:rPr>
      </w:pPr>
      <w:r>
        <w:rPr>
          <w:rFonts w:ascii="Montserrat;sans-serif" w:hAnsi="Montserrat;sans-serif"/>
          <w:b/>
          <w:color w:val="000000"/>
          <w:sz w:val="18"/>
        </w:rPr>
        <w:t>DOCUMENTS INCORPORATED BY REFERENCE</w:t>
      </w:r>
    </w:p>
    <w:p>
      <w:pPr>
        <w:pStyle w:val="TextBody"/>
        <w:bidi w:val="0"/>
        <w:spacing w:lineRule="auto" w:line="288" w:before="40" w:after="120"/>
        <w:jc w:val="left"/>
        <w:rPr>
          <w:rFonts w:ascii="Montserrat;sans-serif" w:hAnsi="Montserrat;sans-serif"/>
          <w:b w:val="false"/>
          <w:color w:val="000000"/>
          <w:sz w:val="18"/>
        </w:rPr>
      </w:pPr>
      <w:r>
        <w:rPr>
          <w:rFonts w:ascii="Montserrat;sans-serif" w:hAnsi="Montserrat;sans-serif"/>
          <w:b w:val="false"/>
          <w:color w:val="000000"/>
          <w:sz w:val="18"/>
        </w:rPr>
        <w:t>Portions of the information called for by Part III of this Annual Report on Form 10-K is hereby incorporated by reference from the definitive proxy statement for the registrant’s 2025 annual meeting of stockholders, which will be filed with the Securities and Exchange Commission not later than 120 days after the registrant’s fiscal year ended July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520"/>
        <w:jc w:val="left"/>
        <w:rPr>
          <w:rFonts w:ascii="Montserrat;sans-serif" w:hAnsi="Montserrat;sans-serif"/>
          <w:b/>
          <w:color w:val="000000"/>
          <w:sz w:val="52"/>
        </w:rPr>
      </w:pPr>
      <w:r>
        <w:rPr>
          <w:rFonts w:ascii="Montserrat;sans-serif" w:hAnsi="Montserrat;sans-serif"/>
          <w:b/>
          <w:color w:val="000000"/>
          <w:sz w:val="52"/>
        </w:rPr>
        <w:t>Table Of Contents</w:t>
      </w:r>
    </w:p>
    <w:tbl>
      <w:tblPr>
        <w:tblW w:w="10205" w:type="dxa"/>
        <w:jc w:val="center"/>
        <w:tblInd w:w="0" w:type="dxa"/>
        <w:tblLayout w:type="fixed"/>
        <w:tblCellMar>
          <w:top w:w="28" w:type="dxa"/>
          <w:left w:w="28" w:type="dxa"/>
          <w:bottom w:w="28" w:type="dxa"/>
          <w:right w:w="28" w:type="dxa"/>
        </w:tblCellMar>
      </w:tblPr>
      <w:tblGrid>
        <w:gridCol w:w="326"/>
        <w:gridCol w:w="286"/>
        <w:gridCol w:w="289"/>
        <w:gridCol w:w="2972"/>
        <w:gridCol w:w="2824"/>
        <w:gridCol w:w="2846"/>
        <w:gridCol w:w="193"/>
        <w:gridCol w:w="193"/>
        <w:gridCol w:w="27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w:t>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3">
              <w:r>
                <w:rPr>
                  <w:rStyle w:val="InternetLink"/>
                  <w:rFonts w:ascii="Montserrat;sans-serif" w:hAnsi="Montserrat;sans-serif"/>
                  <w:b w:val="false"/>
                  <w:color w:val="0000FF"/>
                  <w:sz w:val="18"/>
                  <w:u w:val="single"/>
                </w:rPr>
                <w:t>Business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3">
              <w:r>
                <w:rPr>
                  <w:rStyle w:val="InternetLink"/>
                  <w:rFonts w:ascii="Montserrat;sans-serif" w:hAnsi="Montserrat;sans-serif"/>
                  <w:b w:val="false"/>
                  <w:color w:val="0000FF"/>
                  <w:sz w:val="18"/>
                  <w:u w:val="single"/>
                </w:rPr>
                <w:t>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46">
              <w:r>
                <w:rPr>
                  <w:rStyle w:val="InternetLink"/>
                  <w:rFonts w:ascii="Montserrat;sans-serif" w:hAnsi="Montserrat;sans-serif"/>
                  <w:b w:val="false"/>
                  <w:color w:val="0000FF"/>
                  <w:sz w:val="18"/>
                  <w:u w:val="single"/>
                </w:rPr>
                <w:t>Risk Factors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46">
              <w:r>
                <w:rPr>
                  <w:rStyle w:val="InternetLink"/>
                  <w:rFonts w:ascii="Montserrat;sans-serif" w:hAnsi="Montserrat;sans-serif"/>
                  <w:b w:val="false"/>
                  <w:color w:val="0000FF"/>
                  <w:sz w:val="18"/>
                  <w:u w:val="single"/>
                </w:rPr>
                <w:t>14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1B.</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82">
              <w:r>
                <w:rPr>
                  <w:rStyle w:val="InternetLink"/>
                  <w:rFonts w:ascii="Montserrat;sans-serif" w:hAnsi="Montserrat;sans-serif"/>
                  <w:b w:val="false"/>
                  <w:color w:val="0000FF"/>
                  <w:sz w:val="18"/>
                  <w:u w:val="single"/>
                </w:rPr>
                <w:t>Unresolved Staff Comments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82">
              <w:r>
                <w:rPr>
                  <w:rStyle w:val="InternetLink"/>
                  <w:rFonts w:ascii="Montserrat;sans-serif" w:hAnsi="Montserrat;sans-serif"/>
                  <w:b w:val="false"/>
                  <w:color w:val="0000FF"/>
                  <w:sz w:val="18"/>
                  <w:u w:val="single"/>
                </w:rPr>
                <w:t>37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1C.</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85">
              <w:r>
                <w:rPr>
                  <w:rStyle w:val="InternetLink"/>
                  <w:rFonts w:ascii="Montserrat;sans-serif" w:hAnsi="Montserrat;sans-serif"/>
                  <w:b w:val="false"/>
                  <w:color w:val="0000FF"/>
                  <w:sz w:val="18"/>
                  <w:u w:val="single"/>
                </w:rPr>
                <w:t>Cybersecurity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85">
              <w:r>
                <w:rPr>
                  <w:rStyle w:val="InternetLink"/>
                  <w:rFonts w:ascii="Montserrat;sans-serif" w:hAnsi="Montserrat;sans-serif"/>
                  <w:b w:val="false"/>
                  <w:color w:val="0000FF"/>
                  <w:sz w:val="18"/>
                  <w:u w:val="single"/>
                </w:rPr>
                <w:t>37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88">
              <w:r>
                <w:rPr>
                  <w:rStyle w:val="InternetLink"/>
                  <w:rFonts w:ascii="Montserrat;sans-serif" w:hAnsi="Montserrat;sans-serif"/>
                  <w:b w:val="false"/>
                  <w:color w:val="0000FF"/>
                  <w:sz w:val="18"/>
                  <w:u w:val="single"/>
                </w:rPr>
                <w:t>Properties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88">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3.</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91">
              <w:r>
                <w:rPr>
                  <w:rStyle w:val="InternetLink"/>
                  <w:rFonts w:ascii="Montserrat;sans-serif" w:hAnsi="Montserrat;sans-serif"/>
                  <w:b w:val="false"/>
                  <w:color w:val="0000FF"/>
                  <w:sz w:val="18"/>
                  <w:u w:val="single"/>
                </w:rPr>
                <w:t>Legal Proceedings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91">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4.</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94">
              <w:r>
                <w:rPr>
                  <w:rStyle w:val="InternetLink"/>
                  <w:rFonts w:ascii="Montserrat;sans-serif" w:hAnsi="Montserrat;sans-serif"/>
                  <w:b w:val="false"/>
                  <w:color w:val="0000FF"/>
                  <w:sz w:val="18"/>
                  <w:u w:val="single"/>
                </w:rPr>
                <w:t>Mine Safety Disclosures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94">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5.</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00">
              <w:r>
                <w:rPr>
                  <w:rStyle w:val="InternetLink"/>
                  <w:rFonts w:ascii="Montserrat;sans-serif" w:hAnsi="Montserrat;sans-serif"/>
                  <w:b w:val="false"/>
                  <w:color w:val="0000FF"/>
                  <w:sz w:val="18"/>
                  <w:u w:val="single"/>
                </w:rPr>
                <w:t>Market for Registrant’s Common Equity, Related Stockholder Matters and Issuer Purchases of Equity Securities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00">
              <w:r>
                <w:rPr>
                  <w:rStyle w:val="InternetLink"/>
                  <w:rFonts w:ascii="Montserrat;sans-serif" w:hAnsi="Montserrat;sans-serif"/>
                  <w:b w:val="false"/>
                  <w:color w:val="0000FF"/>
                  <w:sz w:val="18"/>
                  <w:u w:val="single"/>
                </w:rPr>
                <w:t>40</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6.</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06">
              <w:r>
                <w:rPr>
                  <w:rStyle w:val="InternetLink"/>
                  <w:rFonts w:ascii="Montserrat;sans-serif" w:hAnsi="Montserrat;sans-serif"/>
                  <w:b w:val="false"/>
                  <w:color w:val="0000FF"/>
                  <w:sz w:val="18"/>
                  <w:u w:val="single"/>
                </w:rPr>
                <w:t>[Reserved]</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06">
              <w:r>
                <w:rPr>
                  <w:rStyle w:val="InternetLink"/>
                  <w:rFonts w:ascii="Montserrat;sans-serif" w:hAnsi="Montserrat;sans-serif"/>
                  <w:b w:val="false"/>
                  <w:color w:val="0000FF"/>
                  <w:sz w:val="18"/>
                  <w:u w:val="single"/>
                </w:rPr>
                <w:t>41</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7.</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09">
              <w:r>
                <w:rPr>
                  <w:rStyle w:val="InternetLink"/>
                  <w:rFonts w:ascii="Montserrat;sans-serif" w:hAnsi="Montserrat;sans-serif"/>
                  <w:b w:val="false"/>
                  <w:color w:val="0000FF"/>
                  <w:sz w:val="18"/>
                  <w:u w:val="single"/>
                </w:rPr>
                <w:t>Management’s Discussion and Analysis of Financial Condition and Results of Operations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09">
              <w:r>
                <w:rPr>
                  <w:rStyle w:val="InternetLink"/>
                  <w:rFonts w:ascii="Montserrat;sans-serif" w:hAnsi="Montserrat;sans-serif"/>
                  <w:b w:val="false"/>
                  <w:color w:val="0000FF"/>
                  <w:sz w:val="18"/>
                  <w:u w:val="single"/>
                </w:rPr>
                <w:t>42</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7A.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87">
              <w:r>
                <w:rPr>
                  <w:rStyle w:val="InternetLink"/>
                  <w:rFonts w:ascii="Montserrat;sans-serif" w:hAnsi="Montserrat;sans-serif"/>
                  <w:b w:val="false"/>
                  <w:color w:val="0000FF"/>
                  <w:sz w:val="18"/>
                  <w:u w:val="single"/>
                </w:rPr>
                <w:t>Quantitative and Qualitative Disclosures About Market Risk</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87">
              <w:r>
                <w:rPr>
                  <w:rStyle w:val="InternetLink"/>
                  <w:rFonts w:ascii="Montserrat;sans-serif" w:hAnsi="Montserrat;sans-serif"/>
                  <w:b w:val="false"/>
                  <w:color w:val="0000FF"/>
                  <w:sz w:val="18"/>
                  <w:u w:val="single"/>
                </w:rPr>
                <w:t>56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8.</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90">
              <w:r>
                <w:rPr>
                  <w:rStyle w:val="InternetLink"/>
                  <w:rFonts w:ascii="Montserrat;sans-serif" w:hAnsi="Montserrat;sans-serif"/>
                  <w:b w:val="false"/>
                  <w:color w:val="0000FF"/>
                  <w:sz w:val="18"/>
                  <w:u w:val="single"/>
                </w:rPr>
                <w:t>Financial Statements and Supplementary Data</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90">
              <w:r>
                <w:rPr>
                  <w:rStyle w:val="InternetLink"/>
                  <w:rFonts w:ascii="Montserrat;sans-serif" w:hAnsi="Montserrat;sans-serif"/>
                  <w:b w:val="false"/>
                  <w:color w:val="0000FF"/>
                  <w:sz w:val="18"/>
                  <w:u w:val="single"/>
                </w:rPr>
                <w:t>57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22">
              <w:r>
                <w:rPr>
                  <w:rStyle w:val="InternetLink"/>
                  <w:rFonts w:ascii="Montserrat;sans-serif" w:hAnsi="Montserrat;sans-serif"/>
                  <w:b w:val="false"/>
                  <w:color w:val="0000FF"/>
                  <w:sz w:val="18"/>
                  <w:u w:val="single"/>
                </w:rPr>
                <w:t>Changes in and Disagreements with Accountants on Accounting and Financial Disclosure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22">
              <w:r>
                <w:rPr>
                  <w:rStyle w:val="InternetLink"/>
                  <w:rFonts w:ascii="Montserrat;sans-serif" w:hAnsi="Montserrat;sans-serif"/>
                  <w:b w:val="false"/>
                  <w:color w:val="0000FF"/>
                  <w:sz w:val="18"/>
                  <w:u w:val="single"/>
                </w:rPr>
                <w:t>95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25">
              <w:r>
                <w:rPr>
                  <w:rStyle w:val="InternetLink"/>
                  <w:rFonts w:ascii="Montserrat;sans-serif" w:hAnsi="Montserrat;sans-serif"/>
                  <w:b w:val="false"/>
                  <w:color w:val="0000FF"/>
                  <w:sz w:val="18"/>
                  <w:u w:val="single"/>
                </w:rPr>
                <w:t>Controls and Procedures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25">
              <w:r>
                <w:rPr>
                  <w:rStyle w:val="InternetLink"/>
                  <w:rFonts w:ascii="Montserrat;sans-serif" w:hAnsi="Montserrat;sans-serif"/>
                  <w:b w:val="false"/>
                  <w:color w:val="0000FF"/>
                  <w:sz w:val="18"/>
                  <w:u w:val="single"/>
                </w:rPr>
                <w:t>95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9B.</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28">
              <w:r>
                <w:rPr>
                  <w:rStyle w:val="InternetLink"/>
                  <w:rFonts w:ascii="Montserrat;sans-serif" w:hAnsi="Montserrat;sans-serif"/>
                  <w:b w:val="false"/>
                  <w:color w:val="0000FF"/>
                  <w:sz w:val="18"/>
                  <w:u w:val="single"/>
                </w:rPr>
                <w:t>Other Information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28">
              <w:r>
                <w:rPr>
                  <w:rStyle w:val="InternetLink"/>
                  <w:rFonts w:ascii="Montserrat;sans-serif" w:hAnsi="Montserrat;sans-serif"/>
                  <w:b w:val="false"/>
                  <w:color w:val="0000FF"/>
                  <w:sz w:val="18"/>
                  <w:u w:val="single"/>
                </w:rPr>
                <w:t>96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9C.</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31">
              <w:r>
                <w:rPr>
                  <w:rStyle w:val="InternetLink"/>
                  <w:rFonts w:ascii="Montserrat;sans-serif" w:hAnsi="Montserrat;sans-serif"/>
                  <w:b w:val="false"/>
                  <w:color w:val="0000FF"/>
                  <w:sz w:val="18"/>
                  <w:u w:val="single"/>
                </w:rPr>
                <w:t>Disclosure Regarding Foreign Jurisdictions That Prevent Inspections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31">
              <w:r>
                <w:rPr>
                  <w:rStyle w:val="InternetLink"/>
                  <w:rFonts w:ascii="Montserrat;sans-serif" w:hAnsi="Montserrat;sans-serif"/>
                  <w:b w:val="false"/>
                  <w:color w:val="0000FF"/>
                  <w:sz w:val="18"/>
                  <w:u w:val="single"/>
                </w:rPr>
                <w:t>96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III</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10.</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37">
              <w:r>
                <w:rPr>
                  <w:rStyle w:val="InternetLink"/>
                  <w:rFonts w:ascii="Montserrat;sans-serif" w:hAnsi="Montserrat;sans-serif"/>
                  <w:b w:val="false"/>
                  <w:color w:val="0000FF"/>
                  <w:sz w:val="18"/>
                  <w:u w:val="single"/>
                </w:rPr>
                <w:t>Directors, Executive Officers and Corporate Governance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37">
              <w:r>
                <w:rPr>
                  <w:rStyle w:val="InternetLink"/>
                  <w:rFonts w:ascii="Montserrat;sans-serif" w:hAnsi="Montserrat;sans-serif"/>
                  <w:b w:val="false"/>
                  <w:color w:val="0000FF"/>
                  <w:sz w:val="18"/>
                  <w:u w:val="single"/>
                </w:rPr>
                <w:t>97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11.</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40">
              <w:r>
                <w:rPr>
                  <w:rStyle w:val="InternetLink"/>
                  <w:rFonts w:ascii="Montserrat;sans-serif" w:hAnsi="Montserrat;sans-serif"/>
                  <w:b w:val="false"/>
                  <w:color w:val="0000FF"/>
                  <w:sz w:val="18"/>
                  <w:u w:val="single"/>
                </w:rPr>
                <w:t>Executive Compensation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40">
              <w:r>
                <w:rPr>
                  <w:rStyle w:val="InternetLink"/>
                  <w:rFonts w:ascii="Montserrat;sans-serif" w:hAnsi="Montserrat;sans-serif"/>
                  <w:b w:val="false"/>
                  <w:color w:val="0000FF"/>
                  <w:sz w:val="18"/>
                  <w:u w:val="single"/>
                </w:rPr>
                <w:t>97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12.</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43">
              <w:r>
                <w:rPr>
                  <w:rStyle w:val="InternetLink"/>
                  <w:rFonts w:ascii="Montserrat;sans-serif" w:hAnsi="Montserrat;sans-serif"/>
                  <w:b w:val="false"/>
                  <w:color w:val="0000FF"/>
                  <w:sz w:val="18"/>
                  <w:u w:val="single"/>
                </w:rPr>
                <w:t>Security Ownership of Certain Beneficial Owners and Management and Related Stockholder Matters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43">
              <w:r>
                <w:rPr>
                  <w:rStyle w:val="InternetLink"/>
                  <w:rFonts w:ascii="Montserrat;sans-serif" w:hAnsi="Montserrat;sans-serif"/>
                  <w:b w:val="false"/>
                  <w:color w:val="0000FF"/>
                  <w:sz w:val="18"/>
                  <w:u w:val="single"/>
                </w:rPr>
                <w:t>97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13.</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46">
              <w:r>
                <w:rPr>
                  <w:rStyle w:val="InternetLink"/>
                  <w:rFonts w:ascii="Montserrat;sans-serif" w:hAnsi="Montserrat;sans-serif"/>
                  <w:b w:val="false"/>
                  <w:color w:val="0000FF"/>
                  <w:sz w:val="18"/>
                  <w:u w:val="single"/>
                </w:rPr>
                <w:t>Certain Relationships and Related Transactions, and Director Independence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20"/>
              <w:jc w:val="center"/>
              <w:rPr/>
            </w:pPr>
            <w:hyperlink w:anchor="i7c6d02d19ae642d183bd6885f5b5223e_346">
              <w:r>
                <w:rPr>
                  <w:rStyle w:val="InternetLink"/>
                  <w:rFonts w:ascii="Montserrat;sans-serif" w:hAnsi="Montserrat;sans-serif"/>
                  <w:b w:val="false"/>
                  <w:color w:val="0000FF"/>
                  <w:sz w:val="18"/>
                  <w:u w:val="single"/>
                </w:rPr>
                <w:t>97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14.</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49">
              <w:r>
                <w:rPr>
                  <w:rStyle w:val="InternetLink"/>
                  <w:rFonts w:ascii="Montserrat;sans-serif" w:hAnsi="Montserrat;sans-serif"/>
                  <w:b w:val="false"/>
                  <w:color w:val="0000FF"/>
                  <w:sz w:val="18"/>
                  <w:u w:val="single"/>
                </w:rPr>
                <w:t>Principal Accountant Fees and Services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49">
              <w:r>
                <w:rPr>
                  <w:rStyle w:val="InternetLink"/>
                  <w:rFonts w:ascii="Montserrat;sans-serif" w:hAnsi="Montserrat;sans-serif"/>
                  <w:b w:val="false"/>
                  <w:color w:val="0000FF"/>
                  <w:sz w:val="18"/>
                  <w:u w:val="single"/>
                </w:rPr>
                <w:t>97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IV</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15.</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55">
              <w:r>
                <w:rPr>
                  <w:rStyle w:val="InternetLink"/>
                  <w:rFonts w:ascii="Montserrat;sans-serif" w:hAnsi="Montserrat;sans-serif"/>
                  <w:b w:val="false"/>
                  <w:color w:val="0000FF"/>
                  <w:sz w:val="18"/>
                  <w:u w:val="single"/>
                </w:rPr>
                <w:t>Exhibits and Financial Statement Schedules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55">
              <w:r>
                <w:rPr>
                  <w:rStyle w:val="InternetLink"/>
                  <w:rFonts w:ascii="Montserrat;sans-serif" w:hAnsi="Montserrat;sans-serif"/>
                  <w:b w:val="false"/>
                  <w:color w:val="0000FF"/>
                  <w:sz w:val="18"/>
                  <w:u w:val="single"/>
                </w:rPr>
                <w:t>98</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16.</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58">
              <w:r>
                <w:rPr>
                  <w:rStyle w:val="InternetLink"/>
                  <w:rFonts w:ascii="Montserrat;sans-serif" w:hAnsi="Montserrat;sans-serif"/>
                  <w:b w:val="false"/>
                  <w:color w:val="0000FF"/>
                  <w:sz w:val="18"/>
                  <w:u w:val="single"/>
                </w:rPr>
                <w:t>Form 10-K Summary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58">
              <w:r>
                <w:rPr>
                  <w:rStyle w:val="InternetLink"/>
                  <w:rFonts w:ascii="Montserrat;sans-serif" w:hAnsi="Montserrat;sans-serif"/>
                  <w:b w:val="false"/>
                  <w:color w:val="0000FF"/>
                  <w:sz w:val="18"/>
                  <w:u w:val="single"/>
                </w:rPr>
                <w:t>101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61">
              <w:r>
                <w:rPr>
                  <w:rStyle w:val="InternetLink"/>
                  <w:rFonts w:ascii="Montserrat;sans-serif" w:hAnsi="Montserrat;sans-serif"/>
                  <w:b w:val="false"/>
                  <w:color w:val="0000FF"/>
                  <w:sz w:val="18"/>
                  <w:u w:val="single"/>
                </w:rPr>
                <w:t>Signatures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361">
              <w:r>
                <w:rPr>
                  <w:rStyle w:val="InternetLink"/>
                  <w:rFonts w:ascii="Montserrat;sans-serif" w:hAnsi="Montserrat;sans-serif"/>
                  <w:b w:val="false"/>
                  <w:color w:val="0000FF"/>
                  <w:sz w:val="18"/>
                  <w:u w:val="single"/>
                </w:rPr>
                <w:t>102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4310"/>
                <wp:effectExtent l="0" t="0" r="0" b="0"/>
                <wp:wrapNone/>
                <wp:docPr id="2" name="Frame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w:t>
      </w:r>
    </w:p>
    <w:p>
      <w:pPr>
        <w:pStyle w:val="TextBody"/>
        <w:bidi w:val="0"/>
        <w:spacing w:lineRule="auto" w:line="417" w:before="360" w:after="240"/>
        <w:jc w:val="center"/>
        <w:rPr>
          <w:rFonts w:ascii="Montserrat;sans-serif" w:hAnsi="Montserrat;sans-serif"/>
          <w:b/>
          <w:color w:val="000000"/>
          <w:sz w:val="18"/>
        </w:rPr>
      </w:pPr>
      <w:r>
        <w:rPr>
          <w:rFonts w:ascii="Montserrat;sans-serif" w:hAnsi="Montserrat;sans-serif"/>
          <w:b/>
          <w:color w:val="000000"/>
          <w:sz w:val="18"/>
        </w:rPr>
        <w:t>SPECIAL NOTE REGARDING FORWARD-LOOKING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Annual Report on Form 10-K, including, without limitation,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forward-looking statements include, but are not limited to, statements concerning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the cybersecurity landscape;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our platformization strategy and related progress and opportunities;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annual recurring revenue, remaining performance obligations, and product development strategy;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artificial intelligence;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our strategic partnerships;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drivers of and factors affecting growth in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statements regarding expected profitability, trends in annual recurring revenue, trends in remaining performance obligations, our mix of product and subscription and support revenue, cost of revenue, gross margin, cash flows, operating expenses, including future share-based compensation expense, income taxes, investment plans, and liquidity;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expected recurring revenues resulting from growth in our end-customers and increased adoption of our products and cloud-delivered security solutions;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performance advantages of our products and subscription and support offerings and the potential benefits to our customers;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future investments in research and development and product development, customer support, in our employees and in our sales force, including expectations regarding growth in our sales headcount;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that we will continue to expand our global presence;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our revenues, including the seasonality and cyclicality from quarter to quarter;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relating to our customer financing activities;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sufficiency of our cash flow from operations with existing cash, cash equivalents, and investments to meet our cash needs for the foreseeable future;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successfully acquire and integrate companies and assets and expectations and intentions with respect to the assets, products and technologies that we acquire, including with respect to our proposed acquisition of CyberArk Software Ltd. and our expectations regarding the benefits and synergies of the proposed acquisition;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complete, on a timely basis, or at all, announced transactions, including our proposed acquisition of CyberArk Software Ltd.;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contingent consideration obligations;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timing and amount of capital expenditures and share repurchases;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effects of worldwide economic and geopolitical conditions, including but not limited to hostilities in Israel and the surrounding regions, inflation, tariff rates, interest rate levels, public or administration policies, trade regulations, trade policy, growth rates and other conditions, on our operating and financial results and performance;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manufacture, delivery and cost of certain of our products;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effects of litigation or regulatory developments involving us or affecting our industry;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other statements regarding our future operations, financial condition and prospects, and business strategies.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forward-looking statements are based on current expectations and assumptions that are subject to risks and uncertainties,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94310"/>
                <wp:effectExtent l="0" t="0" r="0" b="0"/>
                <wp:wrapNone/>
                <wp:docPr id="3" name="Frame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0" w:after="120"/>
        <w:jc w:val="left"/>
        <w:rPr>
          <w:rFonts w:ascii="Montserrat;sans-serif" w:hAnsi="Montserrat;sans-serif"/>
          <w:b/>
          <w:color w:val="000000"/>
          <w:sz w:val="40"/>
        </w:rPr>
      </w:pPr>
      <w:r>
        <w:rPr>
          <w:rFonts w:ascii="Montserrat;sans-serif" w:hAnsi="Montserrat;sans-serif"/>
          <w:b/>
          <w:color w:val="000000"/>
          <w:sz w:val="4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General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is a global cybersecurity provider and our vision is a world where each day is safer and more secure than the one before. We were incorporated in 2005 and are headquartered in Santa Clara,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mission is to be the cybersecurity partner of choice for enterprises, organizations, service providers, and government entities to protect our digital way of life. Our cybersecurity platforms and services help secure enterprise users, networks, clouds, and endpoints by delivering comprehensive cybersecurity backed by artificial intelligence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Network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network security platform is designed to deliver complete zero trust solutions to our customers. The platform includes: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Secure Access Service Edge (“SASE”). </w:t>
      </w:r>
      <w:r>
        <w:rPr>
          <w:rFonts w:ascii="Montserrat;sans-serif" w:hAnsi="Montserrat;sans-serif"/>
          <w:b w:val="false"/>
          <w:color w:val="000000"/>
          <w:sz w:val="18"/>
        </w:rPr>
        <w:t>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 xml:space="preserve">Access, when combined with Prisma SD-WAN, provides a comprehensive single-vendor SASE offering that is used to secure remote workforces and cloud-delivered branch offices. Prisma Access Browser further extends SASE security and data protection to the end user device, providing workers with freedom to access business applications securely using our secure browser from any device.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rFonts w:ascii="Montserrat;sans-serif" w:hAnsi="Montserrat;sans-serif"/>
          <w:b w:val="false"/>
          <w:color w:val="000000"/>
          <w:sz w:val="18"/>
        </w:rPr>
        <w:t>. Our hardware ML-Powered Next-Generation Firewalls (“NGFWs”) secure on-premises environments including campus locations and data centers. Our software NGFWs secure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Cloud-Delivered Security Services (“CDSS”)</w:t>
      </w:r>
      <w:r>
        <w:rPr>
          <w:rFonts w:ascii="Montserrat;sans-serif" w:hAnsi="Montserrat;sans-serif"/>
          <w:b w:val="false"/>
          <w:color w:val="000000"/>
          <w:sz w:val="18"/>
        </w:rPr>
        <w:t>. Our network security platform integrates a suite of CDSS that complements our SASE and Firewall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IoT/OT Security,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Data Loss Prevention (“Enterprise DLP”), AI for IT Operations (“AIOps”), Software as a Service (“SaaS”) Security, and AI Access Security. Through these add-on services, our customers are able to secure their content, applications, users, and devices across their entire organization.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Prisma AIRS. </w:t>
      </w:r>
      <w:r>
        <w:rPr>
          <w:rFonts w:ascii="Montserrat;sans-serif" w:hAnsi="Montserrat;sans-serif"/>
          <w:b w:val="false"/>
          <w:color w:val="000000"/>
          <w:sz w:val="18"/>
        </w:rPr>
        <w:t>Prisma AIRS is a comprehensive AI security platform that has been designed to protect customers’ entire AI ecosystem by providing AI model scanning, posture management, red teaming, run-time security, and AI agent security.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 (“SCM”)</w:t>
      </w:r>
      <w:r>
        <w:rPr>
          <w:rFonts w:ascii="Montserrat;sans-serif" w:hAnsi="Montserrat;sans-serif"/>
          <w:b w:val="false"/>
          <w:color w:val="000000"/>
          <w:sz w:val="18"/>
        </w:rPr>
        <w:t>. SCM, our network security management solution, centrally manages network security across all remote workers, branches, headquarters, campuses, and cloud. SCM leverages AI to simplify and strengthen network security by enabling customers to proactively pinpoint vulnerabilities, gain real-time remediation recommendations, and enhance overall digital experiences, thereby reducing operational burden. This comprehensive solution includes Strata Copilot, which offers a natural language interface for enhanced insights and guided remediation, and integrates Autonomous Digital Experience Monitoring (“ADEM”) to proactively maintain infrastructure health, facilitate AI-driven one-click troubleshooting, and ensure seamless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Security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AI-powered Cortex platform transforms end-to-end security operations with unified data, AI, and automation for more secure, faster, and cost effective outcomes. We have consolidated our industry-leading Security Operations and Cloud Security capabilities on a single comprehensive platform to provide centralized visibility, proactive protection, real-time prevention, AI-driven insights, and automated remediation across enterprise and cloud.</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Security Operations. </w:t>
      </w:r>
      <w:r>
        <w:rPr>
          <w:rFonts w:ascii="Montserrat;sans-serif" w:hAnsi="Montserrat;sans-serif"/>
          <w:b w:val="false"/>
          <w:color w:val="000000"/>
          <w:sz w:val="18"/>
        </w:rPr>
        <w:t>We deliver the next generation of security operations capabilities that unifies standalone Security Information and Event Management (“SIEM”) tools, endpoint security, security automation, cloud detection and response (“CDR”), as well as attack surface management (“ASM”) capabilities on our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security orchestration, automation, and response (“SOAR”), and Cortex Xpanse</w:t>
      </w:r>
      <w:r>
        <w:rPr>
          <w:rFonts w:ascii="Montserrat;sans-serif" w:hAnsi="Montserrat;sans-serif"/>
          <w:b w:val="false"/>
          <w:color w:val="000000"/>
          <w:sz w:val="12"/>
        </w:rPr>
        <w:t>®</w:t>
      </w:r>
      <w:r>
        <w:rPr>
          <w:rFonts w:ascii="Montserrat;sans-serif" w:hAnsi="Montserrat;sans-serif"/>
          <w:b w:val="false"/>
          <w:color w:val="000000"/>
          <w:sz w:val="18"/>
        </w:rPr>
        <w:t xml:space="preserve">, for ASM.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 Security. </w:t>
      </w:r>
      <w:r>
        <w:rPr>
          <w:rFonts w:ascii="Montserrat;sans-serif" w:hAnsi="Montserrat;sans-serif"/>
          <w:b w:val="false"/>
          <w:color w:val="000000"/>
          <w:sz w:val="18"/>
        </w:rPr>
        <w:t>We deliver comprehensive security across the cloud application development lifecycle through Cortex Cloud,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4310"/>
                <wp:effectExtent l="0" t="0" r="0" b="0"/>
                <wp:wrapNone/>
                <wp:docPr id="4" name="Frame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Unit 42</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transforming their security strategy with a threat-informed approach, and responding to security incidents on behalf of our clients. Additionally, Unit 42 offers managed detection and response (“MDR”) and managed threat hunting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Products and Services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NETWORK SECURITY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Secure Access Service Edge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Prisma Access. </w:t>
      </w:r>
      <w:r>
        <w:rPr>
          <w:rFonts w:ascii="Montserrat;sans-serif" w:hAnsi="Montserrat;sans-serif"/>
          <w:b w:val="false"/>
          <w:color w:val="000000"/>
          <w:sz w:val="18"/>
        </w:rPr>
        <w:t xml:space="preserve">Prisma Access is a cloud-delivered security offering that helps organizations deliver consistent AI-driven security to remote networks and mobile users. With more than 100 locations around the world, Prisma Access offers global coverage, consistently inspecting all traffic across all ports and providing bidirectional networking to enable branch-to-branch and branch-to-headquarter traffic. Prisma Access consolidates point products into a single cloud-delivered solution, transforming network security and allowing organizations to enable secure hybrid work. Prisma Access protects all application traffic with complete, best-in-class security while also delivering a seamless user experience with industry-leading service-level agreements (“SLA”s). With native SASE integration, Prisma Access Browser extends Zero Trust to any device—managed or unmanaged—in minutes. Prisma Access delivers seamless user experience with a combination of application acceleration—up to 5x faster than direct-to-internet—and Autonomous Digital Experience Management.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Prisma SD-WAN.</w:t>
      </w:r>
      <w:r>
        <w:rPr>
          <w:color w:val="000000"/>
        </w:rPr>
        <w:t xml:space="preserve"> </w:t>
      </w:r>
      <w:r>
        <w:rPr>
          <w:rFonts w:ascii="Montserrat;sans-serif" w:hAnsi="Montserrat;sans-serif"/>
          <w:b w:val="false"/>
          <w:color w:val="000000"/>
          <w:sz w:val="18"/>
        </w:rPr>
        <w:t>Our Prisma SD-WAN solution is a next-generation SD-WAN solution that makes the secure cloud-delivered branch possible. Prisma SD-WAN enables organizations to replace traditional wide area network (“WAN”) architectures with affordable broadband and internet transport types that promote improved bandwidth availability, redundancy and performance at a reduced cost. Prisma SD-WAN leverages real-time application performance SLAs and visibility to control and intelligently steer application traffic to deliver a powerful user experience. Prisma SD-WAN also provides the flexibility of deploying with an on-premises controller to help businesses meet their industry-specific security compliance requirements and manage deployments with application-defined policies. Our Prisma SD-WAN simplifies network and security operations using AI and automation.</w:t>
      </w:r>
    </w:p>
    <w:p>
      <w:pPr>
        <w:pStyle w:val="TextBody"/>
        <w:bidi w:val="0"/>
        <w:spacing w:lineRule="auto" w:line="288" w:before="120" w:after="120"/>
        <w:jc w:val="left"/>
        <w:rPr/>
      </w:pPr>
      <w:r>
        <w:rPr>
          <w:rFonts w:ascii="Montserrat SemiBold;sans-serif" w:hAnsi="Montserrat SemiBold;sans-serif"/>
          <w:b/>
          <w:i/>
          <w:color w:val="000000"/>
          <w:sz w:val="18"/>
        </w:rPr>
        <w:t xml:space="preserve">Next-Generation Firewalls. </w:t>
      </w:r>
      <w:r>
        <w:rPr>
          <w:rFonts w:ascii="Montserrat;sans-serif" w:hAnsi="Montserrat;sans-serif"/>
          <w:b w:val="false"/>
          <w:color w:val="000000"/>
          <w:sz w:val="18"/>
        </w:rPr>
        <w:t>Our hardware and software ML-Powered Next Generation Firewalls use AI—including machine learning and deep learning—to stop zero-day threats in real time, and detect and secure the entire enterprise including Internet of Things (“IoT”). All of our hardware and software firewalls incorporate the PAN-OS</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operating system and include the same rich set of features, ensuring consistent operation across our entire product line. This includes SD-WAN capabilities to intelligently steer traffic to data centers, branches, and the cloud, natively integrated into our Next-Generation Firewalls. Enterprise data, applications, users, and devices become integral components of an organization’s security policy. Our hardware and software are designed for different performance requirements throughout an organization—with the ability to secure everything from small businesses and branch offices, to large-scale data centers and service providers. Our firewalls come in hardware form factors, containerized form factors, called CN-Series, as well as virtual form factors, called VM-Series, available on all major cloud hosting service providers. We also offer Cloud NGFW, a managed NGFW offering, to secure customers’ applications on Amazon Web Services (“AWS”) and Microsoft Azure (“Azure”).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Cloud-Delivered Security Services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Threat Prevention.</w:t>
      </w:r>
      <w:r>
        <w:rPr>
          <w:color w:val="000000"/>
        </w:rPr>
        <w:t xml:space="preserve"> </w:t>
      </w:r>
      <w:r>
        <w:rPr>
          <w:rFonts w:ascii="Montserrat;sans-serif" w:hAnsi="Montserrat;sans-serif"/>
          <w:b w:val="false"/>
          <w:color w:val="000000"/>
          <w:sz w:val="18"/>
        </w:rPr>
        <w:t>This cloud-delivered security service provides intrusion detection and prevention capabilities and blocks vulnerability exploits, viruses, spyware, buffer overflows, denial-of-service attacks, and port scans from compromising and damaging enterprise information resources. In addition, we offer inline deep learning to deliver real-time detection and prevention of unknown, evasive, and targeted command-and-control (“C2”) communications over HTTP, unknown-TCP, unknown-UDP, and encrypted over SSL. Advanced Threat Prevention is the industry’s only offering to protect the enterprise from unknown command and control in real-time with the power of Precision AI</w:t>
      </w:r>
      <w:r>
        <w:rPr>
          <w:rFonts w:ascii="Montserrat;sans-serif" w:hAnsi="Montserrat;sans-serif"/>
          <w:b w:val="false"/>
          <w:color w:val="000000"/>
          <w:sz w:val="12"/>
        </w:rPr>
        <w:t>TM</w:t>
      </w:r>
      <w:r>
        <w:rPr>
          <w:rFonts w:ascii="Montserrat;sans-serif" w:hAnsi="Montserrat;sans-serif"/>
          <w:b w:val="false"/>
          <w:color w:val="000000"/>
          <w:sz w:val="18"/>
        </w:rPr>
        <w:t>.</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Advanced WildFire. </w:t>
      </w:r>
      <w:r>
        <w:rPr>
          <w:rFonts w:ascii="Montserrat;sans-serif" w:hAnsi="Montserrat;sans-serif"/>
          <w:b w:val="false"/>
          <w:color w:val="000000"/>
          <w:sz w:val="18"/>
        </w:rPr>
        <w:t>This cloud-delivered security service provides protection against targeted malware and advanced persistent threats and provides a near real-time analysis engine for detecting previously unseen malware while resisting attacker evasion techniques. Advanced WildFire combines dynamic and static analysis, recursive analysis, and a custom-built analysis environment with network traffic profiling and fileless attack detection to discover even the most sophisticated and evasive threats. Preventions are delivered in seconds to our network security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94310"/>
                <wp:effectExtent l="0" t="0" r="0" b="0"/>
                <wp:wrapNone/>
                <wp:docPr id="5" name="Frame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URL Filtering.</w:t>
      </w:r>
      <w:r>
        <w:rPr>
          <w:color w:val="000000"/>
        </w:rPr>
        <w:t xml:space="preserve"> </w:t>
      </w:r>
      <w:r>
        <w:rPr>
          <w:rFonts w:ascii="Montserrat;sans-serif" w:hAnsi="Montserrat;sans-serif"/>
          <w:b w:val="false"/>
          <w:color w:val="000000"/>
          <w:sz w:val="18"/>
        </w:rPr>
        <w:t>This cloud-delivered security service offers the industry’s first Inline Deep Learning powered web protection engine. We deliver real-time detection and prevention of unknown, evasive, and targeted web-based threats, such as phishing. In addition, the service includes a cloud-based URL filtering database which consists of millions of URLs across many categories and is designed to analyze web traffic and prevent web-based threats, such as phishing, malware, and C2.</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DNS Security.</w:t>
      </w:r>
      <w:r>
        <w:rPr>
          <w:color w:val="000000"/>
        </w:rPr>
        <w:t xml:space="preserve"> </w:t>
      </w:r>
      <w:r>
        <w:rPr>
          <w:rFonts w:ascii="Montserrat;sans-serif" w:hAnsi="Montserrat;sans-serif"/>
          <w:b w:val="false"/>
          <w:color w:val="000000"/>
          <w:sz w:val="18"/>
        </w:rPr>
        <w:t>This cloud-delivered security service uses machine learning to proactively block malicious domains and stop attacks in progress. The service allows our network security platform access to Domain Name System (“DNS”) signatures that are generated using advanced predictive analysis, machine learning, and malicious domain data from a growing threat intelligence sharing community of which we are a part of. We offer comprehensive DNS attack coverage and include industry-first protections against multiple emerging DNS-based network attacks, including real-time analysis of DNS response to prevent DNS hijacking.</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IoT/OT Security.</w:t>
      </w:r>
      <w:r>
        <w:rPr>
          <w:color w:val="000000"/>
        </w:rPr>
        <w:t xml:space="preserve"> </w:t>
      </w:r>
      <w:r>
        <w:rPr>
          <w:rFonts w:ascii="Montserrat;sans-serif" w:hAnsi="Montserrat;sans-serif"/>
          <w:b w:val="false"/>
          <w:color w:val="000000"/>
          <w:sz w:val="18"/>
        </w:rPr>
        <w:t>This cloud-delivered security service uses machine learning to accurately identify and classify various IoT and operational technology (“OT”) devices, including never-been-seen-before devices, mission-critical OT devices, and unmanaged legacy systems. The service uses machine learning to baseline normal behavior, identify anomalous activity, assess risk, and provide policy recommendations.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SaaS Security API.</w:t>
      </w:r>
      <w:r>
        <w:rPr>
          <w:color w:val="000000"/>
        </w:rPr>
        <w:t xml:space="preserve"> </w:t>
      </w:r>
      <w:r>
        <w:rPr>
          <w:rFonts w:ascii="Montserrat;sans-serif" w:hAnsi="Montserrat;sans-serif"/>
          <w:b w:val="false"/>
          <w:color w:val="000000"/>
          <w:sz w:val="18"/>
        </w:rPr>
        <w:t>SaaS Security API is a multi-mode, cloud access security broker (“CASB”) that helps govern sanctioned SaaS application usage across all users and helps prevent breaches and non-compliance. Specifically, the service enables the discovery and classification of data stored in supported SaaS applications, protects sensitive data from accidental exposure, identifies and protects against known and unknown malware, and performs user activity monitoring to identify potential misuse or data exfiltration. The solution can be combined with SaaS Security Inline for a complete integrated CASB.</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SaaS Security Inline. </w:t>
      </w:r>
      <w:r>
        <w:rPr>
          <w:rFonts w:ascii="Montserrat;sans-serif" w:hAnsi="Montserrat;sans-serif"/>
          <w:b w:val="false"/>
          <w:color w:val="000000"/>
          <w:sz w:val="18"/>
        </w:rPr>
        <w:t>SaaS Security Inline adds an inline service to automatically gain visibility and control over thousands of known and newly sanctioned, unsanctioned and tolerated SaaS applications in use within organizations today. The service provides enterprise data protection and compliance across all SaaS applications and prevents cloud threats in real time. The solution can be combined with SaaS Security API as a complete integrated CASB.</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GlobalProtect.</w:t>
      </w:r>
      <w:r>
        <w:rPr>
          <w:color w:val="000000"/>
        </w:rPr>
        <w:t xml:space="preserve"> </w:t>
      </w:r>
      <w:r>
        <w:rPr>
          <w:rFonts w:ascii="Montserrat;sans-serif" w:hAnsi="Montserrat;sans-serif"/>
          <w:b w:val="false"/>
          <w:color w:val="000000"/>
          <w:sz w:val="18"/>
        </w:rPr>
        <w:t>This subscription provides protection for users of both traditional laptop and mobile devices. It expands the boundaries of the end-users’ physical network, effectively establishing a logical perimeter that encompasses remote laptop and mobile device users irrespective of their location. Regardless of the operating system, laptops, tablets, and phones will stay connected to the corporate network when they are on a network of any kind and as a result, are protected as if they never left the corporate campus.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Prisma Access Agent.</w:t>
      </w:r>
      <w:r>
        <w:rPr>
          <w:color w:val="000000"/>
        </w:rPr>
        <w:t xml:space="preserve"> </w:t>
      </w:r>
      <w:r>
        <w:rPr>
          <w:rFonts w:ascii="Montserrat;sans-serif" w:hAnsi="Montserrat;sans-serif"/>
          <w:b w:val="false"/>
          <w:color w:val="000000"/>
          <w:sz w:val="18"/>
        </w:rPr>
        <w:t>Prisma Access Agent provides secure, remote access to corporate resources for employees working from any location or device. The agent establishes an encrypted tunnel to Prisma Access or our NGFW, ensuring consistent security, data protection, and threat prevention for a distributed workforce accessing any application.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Enterprise DLP.</w:t>
      </w:r>
      <w:r>
        <w:rPr>
          <w:color w:val="000000"/>
        </w:rPr>
        <w:t xml:space="preserve"> </w:t>
      </w:r>
      <w:r>
        <w:rPr>
          <w:rFonts w:ascii="Montserrat;sans-serif" w:hAnsi="Montserrat;sans-serif"/>
          <w:b w:val="false"/>
          <w:color w:val="000000"/>
          <w:sz w:val="18"/>
        </w:rPr>
        <w:t>This cloud-delivered security service provides consistent and reliable protection of sensitive data, such as personally identifiable information and intellectual property, for all traffic types, applications, and users. Native integration with our products makes the service simple to deploy, while advanced machine learning minimizes management complexity. Enterprise DLP allows organizations to consistently discover, classify, monitor, and protect sensitive data, wherever it may reside.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AI Access Security. </w:t>
      </w:r>
      <w:r>
        <w:rPr>
          <w:rFonts w:ascii="Montserrat;sans-serif" w:hAnsi="Montserrat;sans-serif"/>
          <w:b w:val="false"/>
          <w:color w:val="000000"/>
          <w:sz w:val="18"/>
        </w:rPr>
        <w:t>AI Access Security classifies and prioritizes GenAI applications to assess risk, detect anomalies and visualize insights across multiple GenAI-specific attributes. The service prevents sensitive data loss and defends against malicious responses, ensuring safe and effective AI adoption.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AIOps.</w:t>
      </w:r>
      <w:r>
        <w:rPr>
          <w:color w:val="000000"/>
        </w:rPr>
        <w:t xml:space="preserve"> </w:t>
      </w:r>
      <w:r>
        <w:rPr>
          <w:rFonts w:ascii="Montserrat;sans-serif" w:hAnsi="Montserrat;sans-serif"/>
          <w:b w:val="false"/>
          <w:color w:val="000000"/>
          <w:sz w:val="18"/>
        </w:rPr>
        <w:t>AIOps enables security teams to proactively strengthen security posture and resolve network disruptions. AIOps provides continuous best practice recommendations powered by machine learning based on industry standards, security policy context, and advanced telemetry data collected from our network security customers to improve security posture. The service also intelligently predicts health, performance, and capacity problems up to seven days in advance and provides actionable insights to resolve the predicted disruptions.</w:t>
      </w:r>
    </w:p>
    <w:p>
      <w:pPr>
        <w:pStyle w:val="TextBody"/>
        <w:bidi w:val="0"/>
        <w:spacing w:lineRule="auto" w:line="288" w:before="120" w:after="120"/>
        <w:jc w:val="left"/>
        <w:rPr/>
      </w:pPr>
      <w:r>
        <w:rPr>
          <w:rFonts w:ascii="Montserrat SemiBold;sans-serif" w:hAnsi="Montserrat SemiBold;sans-serif"/>
          <w:b/>
          <w:i/>
          <w:color w:val="000000"/>
          <w:sz w:val="18"/>
        </w:rPr>
        <w:t xml:space="preserve">Prisma AIRS. </w:t>
      </w:r>
      <w:r>
        <w:rPr>
          <w:rFonts w:ascii="Montserrat;sans-serif" w:hAnsi="Montserrat;sans-serif"/>
          <w:b w:val="false"/>
          <w:color w:val="000000"/>
          <w:sz w:val="18"/>
        </w:rPr>
        <w:t>Prisma AIRS is a comprehensive AI security platform engineered to protect customers' entire AI ecosystem across its lifecycle. It addresses unique AI security challenges such as prompt injection, data poisoning, and sensitive data leakage, by providing deep visibility and control across AI models, data, and applications. The platform offers AI Model Scanning for vulnerabilities, Posture Management for secure configurations, and AI Red Teaming for proactive testing. Critically, Runtime Security prevents threats during live AI model execution, while AI Agent Security extends protection to autonomous AI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94310"/>
                <wp:effectExtent l="0" t="0" r="0" b="0"/>
                <wp:wrapNone/>
                <wp:docPr id="6" name="Frame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pPr>
      <w:r>
        <w:rPr>
          <w:rFonts w:ascii="Montserrat SemiBold;sans-serif" w:hAnsi="Montserrat SemiBold;sans-serif"/>
          <w:b/>
          <w:i/>
          <w:color w:val="000000"/>
          <w:sz w:val="18"/>
        </w:rPr>
        <w:t xml:space="preserve">Strata Cloud Manager. </w:t>
      </w:r>
      <w:r>
        <w:rPr>
          <w:rFonts w:ascii="Montserrat;sans-serif" w:hAnsi="Montserrat;sans-serif"/>
          <w:b w:val="false"/>
          <w:color w:val="000000"/>
          <w:sz w:val="18"/>
        </w:rPr>
        <w:t>SCM enables our customers to easily manage their Palo Alto Networks’ Network Security infrastructure—including NGFWs and SASE deployments—from the cloud, via one unified management interface. As an AI-powered, unified cloud management solution, SCM enables organizations to enhance their network security posture and streamline operations. It utilizes AI to swiftly identify potential vulnerabilities, provide real-time recommendations for remediation, proactively address support needs, and improve overall digital experiences, leading to reduced operational overhead and improved speed, accuracy, and scale of support. By analyzing telemetry, historical data, and its diverse knowledge base, SCM can instantly answer questions, pinpoint solutions to known problems, and automate data collection to speed up assisted support for new challenges. Built into this robust solution are Strata Copilot, offering a natural language interface for intuitive insights and guided actions, and ADEM, designed for proactive infrastructure health, simplified troubleshooting, and consistent end-user performance across the network.</w:t>
      </w:r>
    </w:p>
    <w:p>
      <w:pPr>
        <w:pStyle w:val="TextBody"/>
        <w:bidi w:val="0"/>
        <w:spacing w:lineRule="auto" w:line="288" w:before="120" w:after="120"/>
        <w:jc w:val="left"/>
        <w:rPr/>
      </w:pPr>
      <w:r>
        <w:rPr>
          <w:rFonts w:ascii="Montserrat SemiBold;sans-serif" w:hAnsi="Montserrat SemiBold;sans-serif"/>
          <w:b/>
          <w:i/>
          <w:color w:val="000000"/>
          <w:sz w:val="18"/>
        </w:rPr>
        <w:t>Panorama.</w:t>
      </w:r>
      <w:r>
        <w:rPr>
          <w:color w:val="000000"/>
        </w:rPr>
        <w:t xml:space="preserve"> </w:t>
      </w:r>
      <w:r>
        <w:rPr>
          <w:rFonts w:ascii="Montserrat;sans-serif" w:hAnsi="Montserrat;sans-serif"/>
          <w:b w:val="false"/>
          <w:color w:val="000000"/>
          <w:sz w:val="18"/>
        </w:rPr>
        <w:t xml:space="preserve">Panorama is used for centralized policy management, device management, software licensing and updates, centralized logging and reporting, and log storage. Many of our existing deployments continue to use Panorama as the security management solution. New deployments benefit from using SCM for managing network security estate—including our Next-Generation Firewalls and SASE—with a cloud-based, unified management interface. </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SECURITY OPERATIONS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Cortex XSIAM.</w:t>
      </w:r>
      <w:r>
        <w:rPr>
          <w:color w:val="000000"/>
        </w:rPr>
        <w:t xml:space="preserve"> </w:t>
      </w:r>
      <w:r>
        <w:rPr>
          <w:rFonts w:ascii="Montserrat;sans-serif" w:hAnsi="Montserrat;sans-serif"/>
          <w:b w:val="false"/>
          <w:color w:val="000000"/>
          <w:sz w:val="18"/>
        </w:rPr>
        <w:t>Our cloud-based AI-powered security operations platform harnesses the power of AI to significantly improve security outcomes and transform security operations. Cortex XSIAM customers are able to consolidate multiple products into a single unified platform that delivers security information and event management, extended detection and response (“XDR”), SOAR, network traffic analysis, ASM, threat intelligence management (“TIM”), identity threat detection and response, and CDR. CDR is the latest addition to Cortex XSIAM and XDR that addresses the growing need for security teams to respond to cloud threats with purpose-built SOC tools that seamlessly integrate with their security programs. Cortex XSIAM integrates these capabilities into a single platform built for security operations, enabling organizations to simplify operations, stop threats at scale, and accelerate incident remediation. Cortex XSIAM automates data integration, analysis, and triage to respond to most alerts, enabling analysts to focus on only the incidents that require human intervention.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XDR. </w:t>
      </w:r>
      <w:r>
        <w:rPr>
          <w:rFonts w:ascii="Montserrat;sans-serif" w:hAnsi="Montserrat;sans-serif"/>
          <w:b w:val="false"/>
          <w:color w:val="000000"/>
          <w:sz w:val="18"/>
        </w:rPr>
        <w:t>This cloud-based service enables organizations to collect telemetry from endpoint, network, identity and cloud data sources and apply advanced analytics and machine learning, to quickly find and stop targeted attacks, insider abuse, and compromised endpoints. Cortex XDR has two product tiers: XDR Prevent and XDR Pro. XDR Prevent delivers enterprise-class endpoint security focused on preventing attacks. XDR Pro extends endpoint detection and response (“EDR”) to include cross-data analytics for network, cloud, and identity data. Going beyond EDR, Cortex XDR detects the most complex threats using analytics across key data sources and reveals the root cause, which can significantly reduce investigation time as compared to siloed tools and manual processes.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Cortex XSOAR.</w:t>
      </w:r>
      <w:r>
        <w:rPr>
          <w:color w:val="000000"/>
        </w:rPr>
        <w:t xml:space="preserve"> </w:t>
      </w:r>
      <w:r>
        <w:rPr>
          <w:rFonts w:ascii="Montserrat;sans-serif" w:hAnsi="Montserrat;sans-serif"/>
          <w:b w:val="false"/>
          <w:color w:val="000000"/>
          <w:sz w:val="18"/>
        </w:rPr>
        <w:t>Available as a stand-alone cloud-based service, an on-premises virtual appliance, or delivered natively through Cortex XSIAM, Cortex XSOAR is a comprehensive SOAR offering that unifies playbook automation, case management, real-time collaboration, and threat intelligence management to serve security teams across the incident lifecycle. With Cortex XSOAR, security teams can standardize processes, automate repeatable tasks, and manage incidents across their security product stack to improve response time and analyst productivity. Cortex XSOAR learns from the real-life analyst interactions and past investigations to help SOC teams with analyst assignment suggestions, playbook enhancements, and best next steps for investigations. Many of our customers see significantly faster SOC response times and a significant reduction in the number of SOC alerts which require human intervention.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Xpanse. </w:t>
      </w:r>
      <w:r>
        <w:rPr>
          <w:rFonts w:ascii="Montserrat;sans-serif" w:hAnsi="Montserrat;sans-serif"/>
          <w:b w:val="false"/>
          <w:color w:val="000000"/>
          <w:sz w:val="18"/>
        </w:rPr>
        <w:t>Available as a stand-alone cloud-based service and a cloud-based subscription module within Cortex XSIAM, Cortex Xpanse provides ASM, which is the ability for an organization to identify what an attacker would see among all of its sanctioned and unsanctioned Internet-facing assets. In addition, Cortex Xpanse detects risky or out-of-policy communications between Internet-connected assets that can be exploited for data breaches or ransomware attacks. Cortex Xpanse continuously identifies Internet assets, risky services, or misconfigurations in third parties to help secure a supply chain or identify risks for mergers and acquisitions due diligence. Finally, compliance teams use Cortex Xpanse to improve their audit processes and stay in compliance by assessing their access controls against regulatory frameworks.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Cloud. </w:t>
      </w:r>
      <w:r>
        <w:rPr>
          <w:rFonts w:ascii="Montserrat;sans-serif" w:hAnsi="Montserrat;sans-serif"/>
          <w:b w:val="false"/>
          <w:color w:val="000000"/>
          <w:sz w:val="18"/>
        </w:rPr>
        <w:t>Available as a stand-alone cloud-based service or an add-on to Cortex XDR or to Cortex XSIAM. Cortex Cloud, the next generation of Prisma Cloud, merges CNAPP with CDR for real-time cloud security. The solution allows you to harness the power of AI and automation to prioritize cloud risks with runtime context, enable remediation at scale, and stop attacks as they happen. Cortex Cloud consolidates multiple code and cloud security technologies such as Cloud Detection and Response, Software Composition Analysis, Infrastructure as Code security, CI/CD security, secrets scanning, Cloud Security Posture Management, Cloud Identity and Entitlements Management, API security, Vulnerability Management, Cloud Workload Protection, Web Application and API Security, Cloud Network Security, and Cloud Attack Surface Management into a single unified offering. As part of the Cortex platform, customers can transform end-to-end security operations, from code to cloud to SOC, by adopting Cortex Cloud together with Cortex XSIAM. Existing customers can continue leveraging Prisma Cloud as they upgrade to Cortex Cloud for significantly better, faster and more effective multi-cloud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94310"/>
                <wp:effectExtent l="0" t="0" r="0" b="0"/>
                <wp:wrapNone/>
                <wp:docPr id="7" name="Frame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THREAT INTELLIGENCE AND ADVISORY SERVICES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Customer Support.</w:t>
      </w:r>
      <w:r>
        <w:rPr>
          <w:color w:val="000000"/>
        </w:rPr>
        <w:t xml:space="preserve"> </w:t>
      </w:r>
      <w:r>
        <w:rPr>
          <w:rFonts w:ascii="Montserrat;sans-serif" w:hAnsi="Montserrat;sans-serif"/>
          <w:b w:val="false"/>
          <w:color w:val="000000"/>
          <w:sz w:val="18"/>
        </w:rPr>
        <w:t>Global customer support helps our customers achieve their security outcomes with services and support capabilities covering the customer's entire journey with Palo Alto Networks. This post-sales, global organization advances our customers’ security maturity, supporting them when, where, and how they need it. We offer Standard Support, Premium Support, and Platinum Support to our end-customers and channel partners. Our channel partners that operate a Palo Alto Networks Authorized Support Center typically deliver level-one and level-two support. We provide level-three support 24 hours a day, seven days a week through regional support centers that are located worldwide. We also offer a service offering called Focused Services that includes Customer Success Managers to provide support for end-customers with unique or complex support requirements. We offer our end-customers ongoing support for hardware, software, and certain cloud offerings, which includes ongoing security updates, PAN-OS upgrades, bug fixes, and repairs.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service-related spares.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Threat Intelligence, Incident Response and Security Consulting. </w:t>
      </w:r>
      <w:r>
        <w:rPr>
          <w:rFonts w:ascii="Montserrat;sans-serif" w:hAnsi="Montserrat;sans-serif"/>
          <w:b w:val="false"/>
          <w:color w:val="000000"/>
          <w:sz w:val="18"/>
        </w:rPr>
        <w:t>Unit 42 brings together world-renowned threat researchers, incident responders, and security consultants to create an intelligence-driven, response-ready organization that is passionate about helping clients proactively manage cyber risk. We help security leaders assess and test their security controls, transform their security strategy with a threat-informed approach, and respond to incidents rapidly. The Unit 42 Threat Intelligence team provides threat research that enables security teams to understand adversary intent and attribution, while enhancing protections offered by our products and services to stop advanced attacks. Our security consultants serve as trusted partners with state-of-the-art cyber risk expertise and incident response capabilities, helping customers build effective security programs, uncover critical exposures to prevent incidents, and, should incidents occur, respond to them with speed and confidence.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Professional Services. </w:t>
      </w:r>
      <w:r>
        <w:rPr>
          <w:rFonts w:ascii="Montserrat;sans-serif" w:hAnsi="Montserrat;sans-serif"/>
          <w:b w:val="false"/>
          <w:color w:val="000000"/>
          <w:sz w:val="18"/>
        </w:rPr>
        <w:t>Professional services are primarily delivered directly by Palo Alto Networks and through a global network of authorized channel partners to our end-customers and include on-location and remote, hands-on experts who plan, design, and deploy effective security solutions tailored to our end-customers’ specific requirements. These services include architecture design and planning, implementation, configuration, and firewall migrations for all our products, including Prisma and Cortex deployments. Customers can also purchase on-going technical experts to be part of customer’s security teams to aid in the implementation and operation of their Palo Alto Networks capabilities. Our education services include certifications, as well as free online technical courses and in-classroom training, which are primarily delivered through our authorized training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research and development efforts are strategically centered on expanding our leadership within the enterprise security industry through AI-powered innovation. We focus on enhancing our integrated platforms and developing new software and hardware capabilities. Our engineering teams apply deep expertise in AI and machine learning across networking security, cloud security, endpoint security, and security operations to address the rapidly evolving threat landscape. This approach enables us to leverage core competencies across hardware and software for agile responsiveness and to ensure interoperability with third-party technologies. We supplement our own research with technologies and products licensed from third parties.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believe that innovation and timely development of new features and products is essential to meeting the needs of our end-customers and improving our competitive position. During fiscal 2025, we introduced several new offerings, including: Prisma Access Browser, new capabilities in our OT Security solution, Cortex Cloud, Prisma AIRS, and Cortex XSIAM 3.0.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plan to continue to significantly invest in our research and development efforts as we evolve and extend the capabilities of our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ACQUISITIONS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enterprise security industry in which we operate necessitates a variety of technologies, products, capabilities, and features. We evaluate opportunities to acquire complementary businesses, technologies, services, and intellectual property to complement our organic innovation and research and development efforts, advance the development of our platforms, and enable further investment in our key priority areas. Our evaluation of acquisition opportunities seeks to confirm that any potential transaction would accelerate our strategy, represent an attractive customer opportunity, address a customer need, align with our customer base and go-to-market strategy, and present a clear timeline and path for value accretion. Our acquisitions enable us to gain access to talent, technology, products and features, and can range in size and complexity, from those that enhance or complement existing products and accelerate development of features to those that result in new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94310"/>
                <wp:effectExtent l="0" t="0" r="0" b="0"/>
                <wp:wrapNone/>
                <wp:docPr id="8" name="Frame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example, in August 2024, we completed the acquisition of certain QRadar assets from International Business Machines Corporation (“IBM”), which we expect will help accelerate the growth of our Cortex business. Additionally, in July 2025, we completed the acquisition of Protect AI, Inc., a privately-held cyber security company (“Protect AI”), which we expect will enhance the capabilities of our AI security platform. In July 2025, we also entered into a definitive agreement to acquire CyberArk Software Ltd. (“CyberArk”), an identity security company, which acquisition is expected to close during the second half of our fiscal 2026.</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additional information related to the impact of acquisitions to our business, see Part I,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INTELLECTUAL PROPERTY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believe that our intellectual property rights are valuable and important to our business, and that our success depends, in part, on our ability to protect and use our core technology and intellectual property rights. We rely on a combination of trademarks, patents, copyrights, trade secrets, license agreements, intellectual property assignment agreements, confidentiality procedures, non-disclosure agreements, and employee non-disclosure and invention assignment agreements to establish, protect and control the use of our proprietary technology and intellectual property rights. We continue to grow our global portfolio of intellectual property rights in connection with our products, services, research and development. We file patent applications to protect our intellectual property and believe that the duration of our issued patents is sufficient when considering the expected lives of our products. We have registered various trademarks for our company and our products in the United States (“U.S.”) and other jurisdictions internationally. We intend to continue pursuing additional protections for our proprietary technology and intellectual property to the extent we believe it would be beneficial and cost-effective.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Despite our efforts to protect our proprietary technology and intellectual property rights, our rights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third-parties and non-practicing entities, may also claim that our cybersecurity platforms and services infringe their intellectual property rights. From time to time, third parties have in the past and may in the future assert claims of infringement, misappropriation and other violations of intellectual property rights against us or our customers, with whom our license or other agreements may obligate us to indemnify against these claims. Successful claims of infringement by a third party could affect our ability to offer, or prevent us from offering, certain products or features. This could result in time during which we may be unable to continue to offer our affected products or solutions because of a potential need for us to develop alternate, non-infringing technology, which could require significant time and resources, or require us to obtain a license, which may not be available on reasonable terms or at all, or could require us to pay substantial damages, royalties, or other fees. For additional information, see the section titled “Risks Related to Intellectual Property and Technology Licensing” in Part I,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GOVERNMENT REGULATION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numerous U.S. federal, state, and foreign laws and regulations covering a wide variety of subject matters. Like other companies in the technology industry, we face scrutiny from both U.S. and foreign governments with respect to our compliance with laws and regulations.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additional information about government regulation applicable to our business, see Part I,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COMPETITION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operate in the intensely competitive enterprise security industry that is characterized by constant change and innovation. Changes in the application, threat, and technology landscape result in evolving customer requirements for the protection from threats and the safe enablement of applications.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features in their products, such as Cisco Systems, Inc. (“Cisco”), Microsoft, Alphabet,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security vendors, such as Check Point Software Technologies Ltd. (“Check Point”), Fortinet, Inc. (“Fortinet”), CrowdStrike Holdings, Inc. (“CrowdStrike”), Zscaler, Inc. (“Zscaler”), and Wiz, Inc. (“Wiz”), that offer a mix of security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94310"/>
                <wp:effectExtent l="0" t="0" r="0" b="0"/>
                <wp:wrapNone/>
                <wp:docPr id="9" name="Frame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our market grows, it will attract more highly specialized vendors, as well as larger vendors that may continue to acquire or bundle their products more effectively.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principal competitive factors in our market include: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features, reliability, performance, and effectiveness;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line breadth, diversity, and applicability;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extensibility and ability to integrate with other technology infrastructures;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price and total cost of ownership;</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adherence to industry standards and certifications;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strength of sales and marketing efforts;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brand awareness and reputation.</w:t>
      </w:r>
    </w:p>
    <w:p>
      <w:pPr>
        <w:pStyle w:val="TextBody"/>
        <w:bidi w:val="0"/>
        <w:spacing w:lineRule="auto" w:line="288" w:before="120" w:after="120"/>
        <w:jc w:val="left"/>
        <w:rPr/>
      </w:pPr>
      <w:r>
        <w:rPr>
          <w:rFonts w:ascii="Montserrat;sans-serif" w:hAnsi="Montserrat;sans-serif"/>
          <w:b w:val="false"/>
          <w:color w:val="000000"/>
          <w:sz w:val="18"/>
        </w:rPr>
        <w:t xml:space="preserve">We believe we generally compete favorably with our competitors on the basis of these factors as a result of the features and performance of our </w:t>
      </w:r>
      <w:r>
        <w:rPr>
          <w:rFonts w:ascii="Montserrat;sans-serif" w:hAnsi="Montserrat;sans-serif"/>
          <w:b w:val="false"/>
          <w:color w:val="000000"/>
          <w:sz w:val="14"/>
        </w:rPr>
        <w:t>portfolio</w:t>
      </w:r>
      <w:r>
        <w:rPr>
          <w:rFonts w:ascii="Montserrat;sans-serif" w:hAnsi="Montserrat;sans-serif"/>
          <w:b w:val="false"/>
          <w:color w:val="000000"/>
          <w:sz w:val="18"/>
        </w:rPr>
        <w:t>, the ease of integration of our security solutions with technological infrastructures, and the relatively low total cost of ownership of our products. However, some of our competitors may have substantially greater financial, technical, and other resources, greater name recognition, larger sales and marketing budgets, broader distribution, more diversified product lines, and larger and more mature intellectual property portfolios.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SALES, MARKETING, SERVICES, AND SUPPORT</w:t>
      </w:r>
    </w:p>
    <w:p>
      <w:pPr>
        <w:pStyle w:val="TextBody"/>
        <w:bidi w:val="0"/>
        <w:spacing w:lineRule="auto" w:line="288" w:before="120" w:after="120"/>
        <w:jc w:val="left"/>
        <w:rPr/>
      </w:pPr>
      <w:r>
        <w:rPr>
          <w:rFonts w:ascii="Montserrat SemiBold;sans-serif" w:hAnsi="Montserrat SemiBold;sans-serif"/>
          <w:b/>
          <w:i/>
          <w:color w:val="000000"/>
          <w:sz w:val="18"/>
        </w:rPr>
        <w:t>Customers.</w:t>
      </w:r>
      <w:r>
        <w:rPr>
          <w:color w:val="000000"/>
        </w:rPr>
        <w:t xml:space="preserve"> </w:t>
      </w:r>
      <w:r>
        <w:rPr>
          <w:rFonts w:ascii="Montserrat;sans-serif" w:hAnsi="Montserrat;sans-serif"/>
          <w:b w:val="false"/>
          <w:color w:val="000000"/>
          <w:sz w:val="18"/>
        </w:rPr>
        <w:t>Our end-customers consist of enterprises, service providers, and government entities. Our end-customers operate in a variety of industries, including education, energy, financial services, government entities, healthcare, Internet and media, manufacturing, public sector, and telecommunications. Our end-customers deploy our portfolio of solutions for a variety of security use cases across several settings. Typical deployment settings include the enterprise network, the enterprise data center, cloud locations, branch or remote locations, and on-device agents. No single end-customer accounted for more than 10% of our total revenue in fiscal 2025, 2024, or 2023.</w:t>
      </w:r>
    </w:p>
    <w:p>
      <w:pPr>
        <w:pStyle w:val="TextBody"/>
        <w:bidi w:val="0"/>
        <w:spacing w:lineRule="auto" w:line="288" w:before="120" w:after="120"/>
        <w:jc w:val="left"/>
        <w:rPr/>
      </w:pPr>
      <w:r>
        <w:rPr>
          <w:rFonts w:ascii="Montserrat SemiBold;sans-serif" w:hAnsi="Montserrat SemiBold;sans-serif"/>
          <w:b/>
          <w:i/>
          <w:color w:val="000000"/>
          <w:sz w:val="18"/>
        </w:rPr>
        <w:t>Distribution.</w:t>
      </w:r>
      <w:r>
        <w:rPr>
          <w:color w:val="000000"/>
        </w:rPr>
        <w:t xml:space="preserve"> </w:t>
      </w:r>
      <w:r>
        <w:rPr>
          <w:rFonts w:ascii="Montserrat;sans-serif" w:hAnsi="Montserrat;sans-serif"/>
          <w:b w:val="false"/>
          <w:color w:val="000000"/>
          <w:sz w:val="18"/>
        </w:rPr>
        <w:t>We primarily sell our products and subscription and support offerings to end-customers through our channel partners utilizing a two-tier, indirect fulfillment model whereby we sell our products and subscription and support offerings to our distributors, which, in turn, sell to our resellers, which then sell to our end-customers. Sales are generally subject to our standard, non-exclusive distributor agreement, which provides for an initial term of one year, one-year renewal terms, termination by us with 30 to 90 days written notice prior to the renewal date, and payment to us from the channel partner within 30 to 45 calendar days of the date we issue an invoice for such sales. For fiscal 2025, 44.2% of our total revenue was derived from sales to three distributors.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sell our VM-Series virtual firewalls and Cloud NGFW via various cloud marketplaces. For example, our VM-Series virtual firewalls are sold on Amazon’s AWS Marketplace, Microsoft’s Azure Marketplace, Alphabet’s Google Cloud Marketplace, and Oracle Corporation’s Oracle Cloud Marketplace either directly to end customers or as part of the respective cloud hosting service provider’s offerings under a usage-based licensing model.</w:t>
      </w:r>
    </w:p>
    <w:p>
      <w:pPr>
        <w:pStyle w:val="TextBody"/>
        <w:bidi w:val="0"/>
        <w:spacing w:lineRule="auto" w:line="288" w:before="120" w:after="120"/>
        <w:jc w:val="left"/>
        <w:rPr/>
      </w:pPr>
      <w:r>
        <w:rPr>
          <w:rFonts w:ascii="Montserrat SemiBold;sans-serif" w:hAnsi="Montserrat SemiBold;sans-serif"/>
          <w:b/>
          <w:i/>
          <w:color w:val="000000"/>
          <w:sz w:val="18"/>
        </w:rPr>
        <w:t>Sales.</w:t>
      </w:r>
      <w:r>
        <w:rPr>
          <w:color w:val="000000"/>
        </w:rPr>
        <w:t xml:space="preserve"> </w:t>
      </w:r>
      <w:r>
        <w:rPr>
          <w:rFonts w:ascii="Montserrat;sans-serif" w:hAnsi="Montserrat;sans-serif"/>
          <w:b w:val="false"/>
          <w:color w:val="000000"/>
          <w:sz w:val="18"/>
        </w:rPr>
        <w:t>Our sales organization is responsible for large-account acquisition and overall market development, which includes the management of the relationships with our channel partners, working with our channel partners in winning and supporting end-customers through a direct-touch approach, and acting as the liaison between our end-customers and our marketing and product development organizations. We pursue sales opportunities both through our direct sales force and as assisted by our channel partners, which include resellers, global and regional systems integrators, service providers, managed security service providers, and cloud hosting service providers. We expect to continue to grow our sales headcount to expand our reach in all key growth sectors.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organization is supported by sales engineers with responsibility for pre-sales technical support, solutions engineering for our end-customers, and technical training for our channel partners.</w:t>
      </w:r>
    </w:p>
    <w:p>
      <w:pPr>
        <w:pStyle w:val="TextBody"/>
        <w:bidi w:val="0"/>
        <w:spacing w:lineRule="auto" w:line="288" w:before="120" w:after="120"/>
        <w:jc w:val="left"/>
        <w:rPr/>
      </w:pPr>
      <w:r>
        <w:rPr>
          <w:rFonts w:ascii="Montserrat SemiBold;sans-serif" w:hAnsi="Montserrat SemiBold;sans-serif"/>
          <w:b/>
          <w:i/>
          <w:color w:val="000000"/>
          <w:sz w:val="18"/>
        </w:rPr>
        <w:t>Channel Program.</w:t>
      </w:r>
      <w:r>
        <w:rPr>
          <w:color w:val="000000"/>
        </w:rPr>
        <w:t xml:space="preserve"> </w:t>
      </w:r>
      <w:r>
        <w:rPr>
          <w:rFonts w:ascii="Montserrat;sans-serif" w:hAnsi="Montserrat;sans-serif"/>
          <w:b w:val="false"/>
          <w:color w:val="000000"/>
          <w:sz w:val="18"/>
        </w:rPr>
        <w:t>Our NextWave Channel Partner program is focused on building in-depth relationships with solutions-oriented distributors, channel, delivery and services partners that have strong security expertise. The program rewards these partners based on a number of attainment goals, as well as provides them access to marketing resources, technical and sales training, and support. To promote optimal productivity, we operate a formal accreditation program for our channel partners’ sales and technical professionals. As of July 31, 2025, we had more than 8,500 channel partners.</w:t>
      </w:r>
    </w:p>
    <w:p>
      <w:pPr>
        <w:pStyle w:val="TextBody"/>
        <w:bidi w:val="0"/>
        <w:spacing w:lineRule="auto" w:line="288" w:before="120" w:after="120"/>
        <w:jc w:val="left"/>
        <w:rPr/>
      </w:pPr>
      <w:r>
        <w:rPr>
          <w:rFonts w:ascii="Montserrat SemiBold;sans-serif" w:hAnsi="Montserrat SemiBold;sans-serif"/>
          <w:b/>
          <w:i/>
          <w:color w:val="000000"/>
          <w:sz w:val="18"/>
        </w:rPr>
        <w:t>Global Customer Success.</w:t>
      </w:r>
      <w:r>
        <w:rPr>
          <w:color w:val="000000"/>
        </w:rPr>
        <w:t xml:space="preserve"> </w:t>
      </w:r>
      <w:r>
        <w:rPr>
          <w:rFonts w:ascii="Montserrat;sans-serif" w:hAnsi="Montserrat;sans-serif"/>
          <w:b w:val="false"/>
          <w:color w:val="000000"/>
          <w:sz w:val="18"/>
        </w:rPr>
        <w:t>Our Global Customer Success organization is responsible for delivering professional, educational, and support services directly to our end-customers and partners. We leverage a global network of certified partners to extend the reach and consistency of these services. We believe that a comprehensive suite of customer success offerings is critical to the successful deployment, adoption, and ongoing use of our products. To support this, we have invested in hiring and developing technical experts with deep domain knowledge and proven experience across our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94310"/>
                <wp:effectExtent l="0" t="0" r="0" b="0"/>
                <wp:wrapNone/>
                <wp:docPr id="10" name="Frame1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pPr>
      <w:r>
        <w:rPr>
          <w:rFonts w:ascii="Montserrat SemiBold;sans-serif" w:hAnsi="Montserrat SemiBold;sans-serif"/>
          <w:b/>
          <w:i/>
          <w:color w:val="000000"/>
          <w:sz w:val="18"/>
        </w:rPr>
        <w:t>Marketing.</w:t>
      </w:r>
      <w:r>
        <w:rPr>
          <w:color w:val="000000"/>
        </w:rPr>
        <w:t xml:space="preserve"> </w:t>
      </w:r>
      <w:r>
        <w:rPr>
          <w:rFonts w:ascii="Montserrat;sans-serif" w:hAnsi="Montserrat;sans-serif"/>
          <w:b w:val="false"/>
          <w:color w:val="000000"/>
          <w:sz w:val="18"/>
        </w:rPr>
        <w:t>Our marketing is focused on building our brand reputation and the market awareness of our portfolio and driving pipeline and end-customer demand. Our marketing team consists primarily of product marketing, brand, demand generation, field marketing, digital marketing, communications, analyst relations, and marketing analytics functions. Marketing activities include pipeline development through demand generation, social media and advertising programs, managing the corporate website and partner portal, trade shows and conferences, analyst relationships, customer advocacy, and customer awareness. Every year we organize multiple signature events, such as our end-customer conference “Ignite” and focused conferences such as “Cortex Symphony” and “SASE Converge.” We also publish threat intelligence research, such as the Unit 42 Cloud Threat Report and the Unit 42 Network Threat Trends Research Report, which are based on data from our global threat intelligence team, Unit 42. These activities and tools benefit both our direct and indirect channels and are available at no cost to our channel partners.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services have been recognized as leading in 25 categories by third-party industry analysts firms that perform independent assessments of these categories. This recognition by third parties is an important measure of validation for our customers.</w:t>
      </w:r>
    </w:p>
    <w:p>
      <w:pPr>
        <w:pStyle w:val="TextBody"/>
        <w:bidi w:val="0"/>
        <w:spacing w:lineRule="auto" w:line="288" w:before="120" w:after="120"/>
        <w:jc w:val="left"/>
        <w:rPr/>
      </w:pPr>
      <w:r>
        <w:rPr>
          <w:rFonts w:ascii="Montserrat SemiBold;sans-serif" w:hAnsi="Montserrat SemiBold;sans-serif"/>
          <w:b/>
          <w:i/>
          <w:color w:val="000000"/>
          <w:sz w:val="18"/>
        </w:rPr>
        <w:t>Backlog.</w:t>
      </w:r>
      <w:r>
        <w:rPr>
          <w:color w:val="000000"/>
        </w:rPr>
        <w:t xml:space="preserve"> </w:t>
      </w:r>
      <w:r>
        <w:rPr>
          <w:rFonts w:ascii="Montserrat;sans-serif" w:hAnsi="Montserrat;sans-serif"/>
          <w:b w:val="false"/>
          <w:color w:val="000000"/>
          <w:sz w:val="18"/>
        </w:rPr>
        <w:t>Contract amounts that are not recorded in deferred revenue or revenue are considered backlog. Orders billed prior to revenue recognition are included in deferred revenue. We expect backlog will change from period to period for various reasons, including the timing of billing and fulfillment, such as inventory shortages. As such, we do not believe that backlog at any particular time is necessarily indicative of our future operating results.</w:t>
      </w:r>
    </w:p>
    <w:p>
      <w:pPr>
        <w:pStyle w:val="TextBody"/>
        <w:bidi w:val="0"/>
        <w:spacing w:lineRule="auto" w:line="288" w:before="120" w:after="120"/>
        <w:jc w:val="left"/>
        <w:rPr/>
      </w:pPr>
      <w:r>
        <w:rPr>
          <w:rFonts w:ascii="Montserrat SemiBold;sans-serif" w:hAnsi="Montserrat SemiBold;sans-serif"/>
          <w:b/>
          <w:i/>
          <w:color w:val="000000"/>
          <w:sz w:val="18"/>
        </w:rPr>
        <w:t>Seasonality.</w:t>
      </w:r>
      <w:r>
        <w:rPr>
          <w:color w:val="000000"/>
        </w:rPr>
        <w:t xml:space="preserve"> </w:t>
      </w:r>
      <w:r>
        <w:rPr>
          <w:rFonts w:ascii="Montserrat;sans-serif" w:hAnsi="Montserrat;sans-serif"/>
          <w:b w:val="false"/>
          <w:color w:val="000000"/>
          <w:sz w:val="18"/>
        </w:rPr>
        <w:t>Our business is affected by seasonal fluctuations in customer spending patterns. We have begun to see seasonal patterns in our business, which we expect to become more pronounced as we continue to grow, with our strongest sequential revenue growth generally occurring in our fiscal second and fourth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MANUFACTURING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outsource the manufacturing of our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are based upon historical trends and analysis, adjusted for overall market conditions. All of our hardware products are assembled in the U.S.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component parts within our products are either sourced by our manufacturing partners or by us from various component suppliers. Our manufacturing and supply contracts, generally, do not guarantee a certain level of supply or fixed pricing, which increases our exposure to supply shortages or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HUMAN CAPITAL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our ongoing success depends on our employees. With a global workforce of 16,068 as of July 31, 2025, our People Strategy is a critical element of our overall company strategy and is overseen by our Chief People Officer who regularly updates our board of directors and the board’s Compensation and People Committee on human capital matters. Our People Strategy is designed to enable a workforce that is nimble, high-performing and innovative. We take a comprehensive approach to attracting, enabling and engaging world-class talent and fostering a culture where every employee can thrive. Our approach includes respecting each employee as a unique individual, demonstrating fairness in all we do and advancing a culture where employees are inspired to do the best work of their careers. We also focus on integrating AI into people programs and processes to build a more agile, skilled and forward-thinking workforce prepared for the future of cybersecurity. Our values of disruption, execution, collaboration, inclusion and integrity were co-created with employees and serve as the foundation of our culture. These values are embedded in our talent acquisition, learning and enablement, engagement and performance elevation, rewards and recognition programs.</w:t>
      </w:r>
    </w:p>
    <w:p>
      <w:pPr>
        <w:pStyle w:val="TextBody"/>
        <w:bidi w:val="0"/>
        <w:spacing w:lineRule="auto" w:line="288" w:before="120" w:after="120"/>
        <w:jc w:val="left"/>
        <w:rPr/>
      </w:pPr>
      <w:r>
        <w:rPr>
          <w:rFonts w:ascii="Montserrat SemiBold;sans-serif" w:hAnsi="Montserrat SemiBold;sans-serif"/>
          <w:b/>
          <w:i/>
          <w:color w:val="000000"/>
          <w:sz w:val="18"/>
        </w:rPr>
        <w:t>Attract &amp; Hire.</w:t>
      </w:r>
      <w:r>
        <w:rPr>
          <w:color w:val="000000"/>
        </w:rPr>
        <w:t xml:space="preserve"> </w:t>
      </w:r>
      <w:r>
        <w:rPr>
          <w:rFonts w:ascii="Montserrat;sans-serif" w:hAnsi="Montserrat;sans-serif"/>
          <w:b w:val="false"/>
          <w:color w:val="000000"/>
          <w:sz w:val="18"/>
        </w:rPr>
        <w:t xml:space="preserve">At Palo Alto Networks, we source talent with the necessary skills and capabilities to contribute to our culture and mission. We utilize structured interviewing practices, thorough job analyses and success profiles to identify high-quality candidates and staff critical roles. In fiscal 2025, we began to transform our hiring operations by strategically embedding AI across the talent acquisition lifecycle to sharpen our competitive edge for talent. We are deploying intelligent tools to automate and enhance core processes, including AI-generated job descriptions, structured interview guides and preparation materials; intelligent interview scheduling; launching an automated talent sourcing and screening pilot; and using AI to augment feedback summaries. Each step is optimized for speed, consistency and bias mitigation. Recognizing that technical skills evolve rapidly in an AI-driven world, our recruitment strategy prioritizes durable, "AI-readiness" capabilities. We assess candidates for core competencies such as critical thinking, adaptability and a capacity for continuous learning to help ensure every hire can not only excel today but also innovate and lead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94310"/>
                <wp:effectExtent l="0" t="0" r="0" b="0"/>
                <wp:wrapNone/>
                <wp:docPr id="11" name="Frame1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Global Hiring Committee continues to play a key role in maintaining our hiring standards, which help drive objectivity. This group of cross-functional senior leaders reviews finalist candidates’ information with a focus on experience and capability. To build robust talent pipelines, we partner with academic institutions and other organizations to support new careers in cybersecurity, promote open roles, proactively reach out to candidates across multiple hiring channels and source candidates with a range of experiences. We also encourage employee referrals.</w:t>
      </w:r>
    </w:p>
    <w:p>
      <w:pPr>
        <w:pStyle w:val="TextBody"/>
        <w:bidi w:val="0"/>
        <w:spacing w:lineRule="auto" w:line="288" w:before="120" w:after="120"/>
        <w:jc w:val="left"/>
        <w:rPr/>
      </w:pPr>
      <w:r>
        <w:rPr>
          <w:rFonts w:ascii="Montserrat SemiBold;sans-serif" w:hAnsi="Montserrat SemiBold;sans-serif"/>
          <w:b/>
          <w:i/>
          <w:color w:val="000000"/>
          <w:sz w:val="18"/>
        </w:rPr>
        <w:t>Onboard &amp; Enable.</w:t>
      </w:r>
      <w:r>
        <w:rPr>
          <w:color w:val="000000"/>
        </w:rPr>
        <w:t xml:space="preserve"> </w:t>
      </w:r>
      <w:r>
        <w:rPr>
          <w:rFonts w:ascii="Montserrat;sans-serif" w:hAnsi="Montserrat;sans-serif"/>
          <w:b w:val="false"/>
          <w:color w:val="000000"/>
          <w:sz w:val="18"/>
        </w:rPr>
        <w:t>Each member of our workforce has a unique career journey and individual needs, interests and goals. To that end, we strive to create an environment where everyone feels valued, respected and supported to solve the world’s toughest cybersecurity challenges.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fiscal 2025, we started to evolve from a traditional training program to a system of AI-powered talent enablement, where we integrate learning and growth throughout the flow of an employee’s daily work. From day 1, new hires embark on a journey that blends in-person connection with personalized digital guidance, including generative AI onboarding roadmaps and AI-curated mentor networks. For ongoing growth, through The Learning Center, our intelligent learning platform, we deliver adaptive learning tracks for employees, including specialized paths for interns, new graduates and individuals joining through acquisitions. We also piloted real-time AI-enabled feedback simulations to coach and equip managers with the skills to guide their teams more effectively.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Development information about core business elements, required company-wide compliance training and information about activities on topics ranging from well-being to collaboration are also offered. To further support our employees to advance up the AI adoption curve, we have offered self-paced online certifications, live training and an experimentation challenge that encouraged peer-driven use cases and employees voting to select the finalists. We will continue our enablement journey, using employee questions and feedback to offer both practical and role-specific use cases to help increase productivity and new skill acquisition. On average, employees completed 36 hours of development during fiscal 2025.</w:t>
      </w:r>
    </w:p>
    <w:p>
      <w:pPr>
        <w:pStyle w:val="TextBody"/>
        <w:bidi w:val="0"/>
        <w:spacing w:lineRule="auto" w:line="288" w:before="120" w:after="120"/>
        <w:jc w:val="left"/>
        <w:rPr/>
      </w:pPr>
      <w:r>
        <w:rPr>
          <w:rFonts w:ascii="Montserrat SemiBold;sans-serif" w:hAnsi="Montserrat SemiBold;sans-serif"/>
          <w:b/>
          <w:i/>
          <w:color w:val="000000"/>
          <w:sz w:val="18"/>
        </w:rPr>
        <w:t>Listen &amp; Engage.</w:t>
      </w:r>
      <w:r>
        <w:rPr>
          <w:color w:val="000000"/>
        </w:rPr>
        <w:t xml:space="preserve"> </w:t>
      </w:r>
      <w:r>
        <w:rPr>
          <w:rFonts w:ascii="Montserrat;sans-serif" w:hAnsi="Montserrat;sans-serif"/>
          <w:b w:val="false"/>
          <w:color w:val="000000"/>
          <w:sz w:val="18"/>
        </w:rPr>
        <w:t>We aim to foster engagement and help employees feel connected to our mission and values. Through our comprehensive approach, we use in-person and virtual channels to provide a regular flow of information to and between employees and leadership. These channels include company meetings, digital displays across our sites, our intranet, regular email communications, an active Slack platform, pulse surveys, a peer-to-peer recognition platform and regular two-way dialogue—such as small, in-person listening sessions hosted by our chief executive officer.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Employee sentiment is also collected and measured from external sources, such as Glassdoor and Comparably. In addition, based on employee participation in an anonymous survey, the Best Practice Institute has certified Palo Alto Networks as one of the “Top 100 Global Most Loved Workplaces” since 2021. Palo Alto Networks has been recognized by Comparably for “Best Leadership Teams” and “Best Company Outlook”, in addition to other employer of choice awards. Our chief executive officer has also earned a 91% employee approval rating on Glassdoor, a top percentile score.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to our formal, company-wide, semiannual performance review process, which helps employees set learning and development plans, we believe in always-on performance feedback. Further providing engagement are eleven Employee Network Groups, open to all employees, that leverage different perspectives to build, understand and support our culture. </w:t>
      </w:r>
    </w:p>
    <w:p>
      <w:pPr>
        <w:pStyle w:val="TextBody"/>
        <w:bidi w:val="0"/>
        <w:spacing w:lineRule="auto" w:line="288" w:before="120" w:after="120"/>
        <w:jc w:val="left"/>
        <w:rPr/>
      </w:pPr>
      <w:r>
        <w:rPr>
          <w:rFonts w:ascii="Montserrat SemiBold;sans-serif" w:hAnsi="Montserrat SemiBold;sans-serif"/>
          <w:b/>
          <w:i/>
          <w:color w:val="000000"/>
          <w:sz w:val="18"/>
        </w:rPr>
        <w:t>Compensation &amp; Benefits.</w:t>
      </w:r>
      <w:r>
        <w:rPr>
          <w:color w:val="000000"/>
        </w:rPr>
        <w:t xml:space="preserve"> </w:t>
      </w:r>
      <w:r>
        <w:rPr>
          <w:rFonts w:ascii="Montserrat;sans-serif" w:hAnsi="Montserrat;sans-serif"/>
          <w:b w:val="false"/>
          <w:color w:val="000000"/>
          <w:sz w:val="18"/>
        </w:rPr>
        <w:t>We offer employees competitive compensation and our flexible benefits plans include a variety of health, time off, wellness and voluntary benefits. Our pay strategy, which includes base salary, cash bonus programs, and equity awards, focuses on compensation based on individual performance. Palo Alto Networks is a fair pay company and we annually engage a third-party consultancy to analyze our pay practices. Through our flexible benefits programs, employees are able to request reimbursement for a range of lifestyle items including fitness, caregiving and education. Additionally, through our Giving+ program, employees can request monetary matching of their charitable donations and volunteer time.</w:t>
      </w:r>
    </w:p>
    <w:p>
      <w:pPr>
        <w:pStyle w:val="TextBody"/>
        <w:bidi w:val="0"/>
        <w:spacing w:lineRule="auto" w:line="288" w:before="120" w:after="120"/>
        <w:jc w:val="left"/>
        <w:rPr/>
      </w:pPr>
      <w:r>
        <w:rPr>
          <w:rFonts w:ascii="Montserrat SemiBold;sans-serif" w:hAnsi="Montserrat SemiBold;sans-serif"/>
          <w:b/>
          <w:i/>
          <w:color w:val="000000"/>
          <w:sz w:val="18"/>
        </w:rPr>
        <w:t xml:space="preserve">Health, Safety &amp; Wellbeing. </w:t>
      </w:r>
      <w:r>
        <w:rPr>
          <w:rFonts w:ascii="Montserrat;sans-serif" w:hAnsi="Montserrat;sans-serif"/>
          <w:b w:val="false"/>
          <w:color w:val="000000"/>
          <w:sz w:val="18"/>
        </w:rPr>
        <w:t>Our commitment to the health, safety and wellbeing of our employees includes providing tools, resources and benefits focused on physical, mental and emotional wellbeing. This includes courses designed to equip employees with the knowledge to work safely, safety awareness campaigns and a mental health hub on our employee intranet.</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CORPORATE RESPONSIBILITY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Responsibility (CR) strategy supports our company's purpose of a safe and secure world, and is informed through many inputs, including our business strategy and objectives, ongoing stakeholder engagement, investor and customer interests, benchmarking of industry best practices, regulatory developments and more. We execute meaningful CR initiatives that include advancing environmental sustainability, investing in people and operating with integrity.</w:t>
      </w:r>
    </w:p>
    <w:p>
      <w:pPr>
        <w:pStyle w:val="TextBody"/>
        <w:bidi w:val="0"/>
        <w:spacing w:lineRule="auto" w:line="288" w:before="120" w:after="120"/>
        <w:jc w:val="left"/>
        <w:rPr/>
      </w:pPr>
      <w:r>
        <w:rPr>
          <w:rFonts w:ascii="Montserrat SemiBold;sans-serif" w:hAnsi="Montserrat SemiBold;sans-serif"/>
          <w:b/>
          <w:i/>
          <w:color w:val="000000"/>
          <w:sz w:val="18"/>
        </w:rPr>
        <w:t>Advance Environmental Sustainability.</w:t>
      </w:r>
      <w:r>
        <w:rPr>
          <w:color w:val="000000"/>
        </w:rPr>
        <w:t xml:space="preserve"> </w:t>
      </w:r>
      <w:r>
        <w:rPr>
          <w:rFonts w:ascii="Montserrat;sans-serif" w:hAnsi="Montserrat;sans-serif"/>
          <w:b w:val="false"/>
          <w:color w:val="000000"/>
          <w:sz w:val="18"/>
        </w:rPr>
        <w:t>Palo Alto Networks is doing our part to limit global warming to less than 1.5°C. Our decarbonization pathway includes implementing operational efficiencies, procuring 100% renewable electricity, targeting greenhouse gas emissions reductions across our value chain and making progress on our science-based targets. We continue to be recognized by CDP (formerly Carbon Disclosure Project) as a “Supplier Engagement Assessment A-list.” We report progress towards our goals in our annual Corporate Responsibility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94310"/>
                <wp:effectExtent l="0" t="0" r="0" b="0"/>
                <wp:wrapNone/>
                <wp:docPr id="12" name="Frame1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pPr>
      <w:r>
        <w:rPr>
          <w:rFonts w:ascii="Montserrat SemiBold;sans-serif" w:hAnsi="Montserrat SemiBold;sans-serif"/>
          <w:b/>
          <w:i/>
          <w:color w:val="000000"/>
          <w:sz w:val="18"/>
        </w:rPr>
        <w:t>Invest in People.</w:t>
      </w:r>
      <w:r>
        <w:rPr>
          <w:color w:val="000000"/>
        </w:rPr>
        <w:t xml:space="preserve"> </w:t>
      </w:r>
      <w:r>
        <w:rPr>
          <w:rFonts w:ascii="Montserrat;sans-serif" w:hAnsi="Montserrat;sans-serif"/>
          <w:b w:val="false"/>
          <w:color w:val="000000"/>
          <w:sz w:val="18"/>
        </w:rPr>
        <w:t xml:space="preserve">In addition to our People Strategy described in the section titled “Human Capital” above, we continue to communicate our expectations regarding labor standards, business practices and workplace health and safety conditions to our supply chain through our Global Supplier Code of Conduct. During fiscal 2025, we maintained our affiliate membership in the Responsible Business Alliance. As a company built on trust, continuing to be a leader in responsible business practices and social impact supports our corporate strategy. We made charitable grants through our donor-advised fund to support nonprofit organizations providing services in areas such as cybersecurity education and expanding pathways to cyber careers. We maintained our work to provide cybersecurity curriculum to schools, universities and nonprofit organizations to help prepare people for careers in cybersecurity. </w:t>
      </w:r>
    </w:p>
    <w:p>
      <w:pPr>
        <w:pStyle w:val="TextBody"/>
        <w:bidi w:val="0"/>
        <w:spacing w:lineRule="auto" w:line="288" w:before="120" w:after="120"/>
        <w:jc w:val="left"/>
        <w:rPr/>
      </w:pPr>
      <w:r>
        <w:rPr>
          <w:rFonts w:ascii="Montserrat SemiBold;sans-serif" w:hAnsi="Montserrat SemiBold;sans-serif"/>
          <w:b/>
          <w:i/>
          <w:color w:val="000000"/>
          <w:sz w:val="18"/>
        </w:rPr>
        <w:t xml:space="preserve">Operate with Integrity. </w:t>
      </w:r>
      <w:r>
        <w:rPr>
          <w:rFonts w:ascii="Montserrat;sans-serif" w:hAnsi="Montserrat;sans-serif"/>
          <w:b w:val="false"/>
          <w:color w:val="000000"/>
          <w:sz w:val="18"/>
        </w:rPr>
        <w:t>Integrity is one of our core values. Employees, contractors and suppliers are informed about our governance expectations, including through our Codes of Conduct, compliance training programs and ongoing communications. The Governance and Sustainability Committee of the board of directors provides primary oversight of corporate responsibility and the board of directors and applicable committees receive regular updates on corporate responsibility topics.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AVAILABLE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ownership-related filings.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 All trademarks, trade names, or service marks used or mentioned herein belong to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94310"/>
                <wp:effectExtent l="0" t="0" r="0" b="0"/>
                <wp:wrapNone/>
                <wp:docPr id="13" name="Frame1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1A. Risk Factors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 xml:space="preserve">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 </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 Factor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numerous risks and uncertainties. These risks include, but are not limited to,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be adversely affected by unfavorable economic and market conditions and the uncertain geopolitical environment.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Seasonality may cause fluctuations in our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new customers, our future results of operations could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the credit and liquidity risk of our customers, and to credit exposure in weakened markets, which could result in material losses.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portion of our revenue is generated by sales to government entities, which are subject to a number of challenges and risks.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intense competition in our market and we may lack sufficient financial or other resources to maintain or improve our competitive position.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have and may in the future acquire other businesses (including CyberArk),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not complete the acquisition of CyberArk within the timeframe we anticipate or at all, which could negatively impact our future business and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As a result of the CyberArk acquisition, we anticipate that the scope and size of our business will substantially change and result in certain incremental risks, including increased competition.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Issues in the development and deployment of AI may result in reputational harm and legal liability and could adversely affect our results of operations.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94310"/>
                <wp:effectExtent l="0" t="0" r="0" b="0"/>
                <wp:wrapNone/>
                <wp:docPr id="14" name="Frame1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Claims by others that we infringe their intellectual property rights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license technology from third parties, and our inability to maintain those licenses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retain, and motivate our key technical, sales, and management personnel, our business could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fluctuations in foreign currency exchange rates, which could negatively affect our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risks associated with having operations and employees located in Israel.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have exposure to tax liabilities that are greater than anticipated.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reputation and/or business could be negatively impacted by corporate responsibility matters and/or our reporting of such matters.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Failure to comply with governmental laws and regulations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market price of our common stock historically has been volatile, and the value of an investment in our common stock could decline.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warrant transactions may affect the value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issuance of additional stock in connection with financings, acquisitions, investments, our stock incentive plans, exercise of the 2025 Warrants, or otherwise will dilute stock held by all other stockholders.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cannot guarantee that our share repurchase program will be fully consummated or that it will enhance shareholder value, and share repurchases could affect the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do not intend to pay dividends for the foreseeable future.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charter documents and Delaware law could discourage takeover attempts and lead to management entrenchment, which could also reduce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business is subject to the risks of earthquakes, fire, power outages, floods, health risks, and other catastrophic events, and to interruption by man-made problems, such as terrorism.</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failure to raise additional capital or generate the significant capital necessary to expand our operations and invest in new products and subscriptions could reduce our ability to compete and could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94310"/>
                <wp:effectExtent l="0" t="0" r="0" b="0"/>
                <wp:wrapNone/>
                <wp:docPr id="15" name="Frame1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Global Economic and Geopolitical Conditions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be adversely affected by unfavorable economic and market conditions and the uncertain geopolitical environment.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operate globally, and as a result, our business and revenues are impacted by global economic and geopolitical conditions. The instability in the global credit markets, inflation, changes in public policies such as domestic and international legislation or regulations, changes in enforcement and administration policies, taxes, any increases in interest rates, fluctuations in foreign currency exchange rates, or international trade agreements, international trade disputes, trade regulations, tariffs and changes in tariffs, geopolitical turmoil, and other disruptions to global and regional economies and markets continue to add uncertainty to global economic conditions. Military actions or armed conflict, including the hostilities in Israel and the surrounding region, the Russia-Ukraine war and any related political or economic responses and counter-responses, and uncertainty about, or changes in, government and trade relationships, policies, and treaties could also lead to worsening economic and market conditions and geopolitical environment. In response to Russia’s invasion of Ukraine, the United States, along with the European Union (the “E.U.”) has imposed restrictive sanctions on Russia, Russian entities, and Russian citizens (“Sanctions on Russia”). We are subject to these governmental sanctions and export controls, which may subject us to liability if we are not in full compliance with applicable laws. Any continued or further uncertainty, weakness or deterioration in economic and market conditions or the geopolitical environment could have a material and adverse impact on our business, financial condition, and results of operations, including reductions in sales of our products and subscriptions, longer sales cycles, reductions in subscription or contract duration and value, slower adoption of new technologies, alterations in the spending patterns or priorities of current and prospective customers (including delaying purchasing decisions), increased costs for the chips and components to manufacture our products, and increased price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OUR GROWTH</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and operations have experienced growth in recent periods, and if we do not effectively manage any future growth or are unable to improve our systems, processes, and controls, our operating results could be adversely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growth and increased demand for our products and subscriptions over the last few years. As a result, our employee headcount has increased, and we expect it to continue to grow over the next year. For example, from the end of fiscal 2024 to the end of fiscal 2025, our headcount increased from 15,289 to 16,068 employees. In addition, as we have grown, the number of end-customers has also increased, and we have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not be able to successfully implement, scale, or manage improvements to our systems, processes, and controls in an efficient or timely manner, which could result in material disruptions of our operations and business.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products, or materially harm our business performance and operating results.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have experienced revenue growth rates of 14.9% and 16.5% in fiscal 2025 and fiscal 2024,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94310"/>
                <wp:effectExtent l="0" t="0" r="0" b="0"/>
                <wp:wrapNone/>
                <wp:docPr id="16" name="Frame1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have incurred losses in fiscal years prior to fiscal 2023.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or a demand shift in, our overall market, or a failure to capitalize on growth opportunities. We have also entered into a substantial amount of capital commitments for operating lease obligations and other purchase commitments. Any failure to increase our revenue as we grow our business could prevent us from maintaining profitability or maintaining or increasing cash flow on a consistent basis, or satisfying our capital commitments. If we are unable to navigate these challenges as we encounter them, our business, financial condition, and operating results may suffer.</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vary significantly from period to period, which makes our results difficult to predict and could cause our results to fall short of expectations, and such results may not be indicative of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operating results have fluctuated in the past, and will likely continue to fluctuate in the future, as a result of a number of factors, many of which are outside of our control and may be difficult to predict, including those factors described in this Risk Factor section. For example,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a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our revenue could fall below our expectations and the estimates of analysts for that quarter. Due to these fluctuations, comparing our revenue, margins, or other operating results on a period-to-period basis may not be meaningful, and our past results should not be relied on as an indication of our future performance.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Seasonality may cause fluctuations in our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end-customers with a December 31 fiscal year-end choosing to spend remaining unused portions of their discretionary budgets before their fiscal year-end, which potentially results in a positive impact on our revenue in our second fiscal quarter;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sales compensation plans, which are typically structured around annual quotas and commission rate accelerators, which potentially results in a positive impact on our revenue in our fourth fiscal quarter;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timing of end-customer budget planning at the beginning of the calendar year, which can result in a delay in spending at the beginning of the calendar year, potentially resulting in a negative impact on our revenue in our third fiscal quarter.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we continue to grow, seasonal or cyclical variations in our operations may become more pronounced, and our business, operating results, and financial position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OUR PRODUCTS AND TECHNOLOGY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sell new and additional product, subscription, and support offerings to our end-customers, especially to large enterprise customers, our future revenue and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expand the deployment of our portfolio with existing end-customers, especially large enterprise customers, including through our platformization strategy, and create demand for our new offerings. The rate at which our end-customers purchase additional products, subscriptions, and support depends on a number of factors, including the perceived need for additional security products, including subscription and support offerings, as well as general economic conditions. If our efforts to sell additional products and subscriptions to our end-customers are not successful, our revenues may grow more slowly than expected or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94310"/>
                <wp:effectExtent l="0" t="0" r="0" b="0"/>
                <wp:wrapNone/>
                <wp:docPr id="17" name="Frame1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large enterprise end-customers, which is part of our growth strategy, involve risks that may not be present, or that are present to a lesser extent, with sales to smaller entities, such as (a) longer sales cycles and the associated risk that substantial time and resources may be spent on a potential end-customer that elects not to purchase our products, subscriptions, and support, and (b) increased purchasing power and leverage held by large end-customers in negotiating contractual arrangements. Deployments for large enterprise end-customers are also more complex, require greater product functionality, scalability, and a broader range of services, and are more time-consuming and resource-consuming. All of these factors add further risk to business conducted with these end-customers. Failure to realize sales from large enterprise end-customers could materially and adversely affect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new customers, our future results of operations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increase our revenue and maintain profitability, we must add new customers. To do so, we must successfully convince prospective customers of the value of adopting our solutions. We are engaging in costly marketing and sales efforts to accelerate our strategies, including platformization, and attract new customers, which may fail or may not be as successful as intended or at all. Additionally, prospective customers’ decisions to purchase our solutions depend on a variety of factors, many of which are out of our control. These factors significantly impact our ability to add new customers and increase the time, resources and sophistication required to do so. For example, prospective customers may face real or perceived switching costs when switching to our solutions from legacy security vendors and products. Deployment of our solutions may require a significant commitment of resources from our customers. Any deterioration in general economic conditions, including as a result of the geopolitical environment or inflation (as well as government policies such as raising interest rates in response to inflation), have in the past caused, and may in the future cause, our current and prospective customers to delay or cut their overall security and IT operations spending. If our efforts to attract new customers are not successful, our sales may not grow as quickly as anticipated, or at all, and our business, operating results, and financial condition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accounts for a significant portion of our revenue, comprising 80.5% of total revenue in fiscal 2025, 80.0% of total revenue in fiscal 2024, and 77.1% of total revenue in fiscal 2023. Sales and renewals of subscription and support contracts may decline and fluctuate as a result of a number of factors, including end-customers’ level of satisfaction with our products and subscriptions, the frequency and severity of subscription outages, our product uptime or latency, the prices of our products and subscriptions, and reductions in our end-customers’ spending levels. Existing end-customers have no contractual obligation to, and may not, renew their subscription and support contracts after the completion of their initial contract period. Additionally, our end-customers may renew their subscription and support agreements for shorter contract lengths or on other terms that are less economically beneficial to us. If our sales of new or renewal subscription and support contracts decline, our total revenue and revenue growth rate may decline, and our business will suffer. In addition, because we recognize subscription and support revenue over the term of the relevant service period, which is typically one to five years, a decline in subscription or support contracts in any one fiscal quarter will not be fully or immediately reflected in revenue in that fiscal quarter but will negatively affect our revenue in future fiscal quarters.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sales prices for our products, subscriptions, and support offerings may decline for a variety of reasons, including competitive pricing pressures, discounts, a change in our mix of products, subscriptions, and support offerings, anticipation of the introduction of new products, subscriptions, or support offerings, or promotional programs or pricing pressures. Furthermore, we anticipate that the sales prices and gross profits for our products could decrease over product life cycles. Declining sales prices could adversely affect our revenue, gross profits, and profitability.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Substantially all of our revenue is generated by sales through our channel partners, including distributors and resellers. For fiscal 2025, three distributors individually represented 10% or more of our total revenue and in the aggregate represented 44.2% of our total revenue. As of July 31, 2025, three distributors individually represented 10% or more of our gross accounts receivable and in the aggregate represented 44.8% of our gross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94310"/>
                <wp:effectExtent l="0" t="0" r="0" b="0"/>
                <wp:wrapNone/>
                <wp:docPr id="18" name="Frame1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the credit and liquidity risk of our customers, and to credit exposure in weakened markets, which could result in material losses.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Most of our sales are made on an open credit basis. Beyond our open credit arrangements, we have also experienced demands for customer financing and deferred payments due to, among other things, macro-economic conditions. Increases in deferred payments result in payments being made over time, negatively impacting our short-term cash flows, and subject us to risk of non-payment by our customers, including as a result of insolvency. We monitor customer payment capability in granting such financing arrangements, seek to limit the amounts to what we believe customers can pay and maintain reserves we believe are adequate to cover exposure for doubtful accounts to mitigate credit risks of these customers. However, there can be no assurance that these programs will be effective in reducing our credit risks. To the degree that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exposure to the credit risks relating to the financing activities described above may increase if our customers are adversely affected by a global economic downturn or periods of economic uncertainty. If we are unable to adequately control these risks, our business, operating results, and financial condition could be harmed. In addition, in the past, we have experienced non-material losses due to bankruptcies among customers. If these losses increase due to global economic conditions, they could harm our business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portion of our revenue is generated by sales to government entities, which are subject to a number of challenges and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or technical requirements for products and subscriptions like ours may change, thereby restricting our ability to sell into the federal government sector until we have attained the revised certification or technical requirements. If our products and subscriptions are late in achieving or fail to achieve compliance with these certifications and standards or technical requirements, or our competitors achieve compliance with these certifications and standards or technical requirements, we may be disqualified from selling our products, subscriptions, and support offerings to such governmental entity, or be at a competitive disadvantage, which would harm our business, operating results, and financial condition. Government entity demand and payment for our products, subscriptions, and support offerings may be impacted by government shutdowns, changes in governmental administrations, public sector budgetary cycles, fiscal policies, contracting policies or requirements, funding authorizations, and efforts by a government to evaluate and reduce overall government spending and analyze and enhance its operational efficiency, with funding reductions or delays adversely affecting public sector demand for our products, subscriptions, and support offerings.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subscriptions, and support offerings,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or other relatively high-cost manufacturing locations, and we may not manufacture all products in locations that meet such requirements, affecting our ability to sell these products, subscriptions, and support offerings to the U.S.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94310"/>
                <wp:effectExtent l="0" t="0" r="0" b="0"/>
                <wp:wrapNone/>
                <wp:docPr id="19" name="Frame1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intense competition in our market and we may lack sufficient financial or other resources to maintain or improve our competitive position.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industry for enterprise security products is intensely competitive, and we expect competition to increase in the future from established competitors and new market entrants.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features in their products, such as Cisco, Microsoft, Alphabet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security vendors, such as Check Point, Fortinet, CrowdStrike, Zscaler, and Wiz, that offer a mix of security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Some of our competitors have or may attain greater financial, technical, marketing, sales, and other resources, greater name recognition, longer operating histories, and a larger base of customers than we do. They may be able to devote greater resources to the promotion and sale of products and services than we can, and they may offer lower pricing than we do. Further, they may have greater resources for research and development of new technologies, the provision of customer support, and the pursuit of acquisitions or other strategic investments. They may also have larger and more mature intellectual property portfolios, and broader and more diverse product and service offerings, which allow them to leverage their relationships based on other products or incorporate functionality into existing products to gain business in a manner that discourages users from purchasing our products and subscriptions, including incorporating cybersecurity features into their existing products or services and product bundling, selling at zero or negative margins, and offering concessions or a closed technology offering. Some competitors may have broader distribution and established relationships with distribution partners and end-customers. Other competitors specialize in providing protection from a single type of security threat, which may allow them to deliver these specialized security products to the market more quickly than we can.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face competition from companies that have entrenched legacy offerings at end-user customers. End-user customers have also often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In addition, as our customers refresh the security products bought in prior years, they may seek to consolidate vendors, which may result in current customers choosing to purchase products from our competitors. Due to budget constraints or economic downturns, organizations may add solutions to their existing network security infrastructure rather than replacing it with our products and subscriptions.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Conditions in our market could change rapidly and significantly as a result of technological advancements, partnering, acquisitions or strategic investments by our competitors, or continuing market consolidation. Our competitors and potential competitors may be able to develop new or disruptive technologies, products, or services, and leverage new business models that are equal or superior to ours, achieve greater market acceptance of their products and services, disrupt our markets, and increase sales by utilizing different distribution channels than we do. In addition, new and enhanced technologies, including AI and machine learning, continue to increase our competition. To compete successfully, we must accurately anticipate technology developments and deliver innovative, relevant, and useful products, services, and technologies in a timely manner.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 or product or service offerings.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results of operations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94310"/>
                <wp:effectExtent l="0" t="0" r="0" b="0"/>
                <wp:wrapNone/>
                <wp:docPr id="20" name="Frame2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have and may in the future acquire other businesses (including CyberArk),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our business strategy, we acquire and make investments in complementary companies, products, or technologies. We continue to evaluate such opportunities and expect to continue to make such acquisitions and investments in the future, such as our pending acquisition of CyberArk Software Ltd. (“CyberArk”).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product, or technology, including claims from terminated employees, customers, former stockholders, or other third parties, which may differ from or be more significant than the risks our business faces.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unsuccessful at integrating past or future acquisitions, including the pending acquisition of CyberArk, in a timely manner, or the technologies, products, or operations associated with such acquisitions, into our company, our revenue and operating results could be adversely affected. Any integration process may require significant time and resources, which may disrupt our ongoing business and divert management’s attention, and we may not be able to manage the integration process successfully or in a timely manner. We may have difficulty retaining key personnel or customers of the acquired business. We may not successfully evaluate or utilize any acquired technology, products, or personnel, realize anticipated synergies from an acquisition, or accurately forecast the financial impact of an acquisition transaction and integration of such acquisition, including accounting charges and any potential impairment of goodwill and intangible assets recognized in connection with such acquisitions. In particular, we believe that there are significant benefits and synergies that may be realized from our proposed acquisition of CyberArk, including through leveraging our and CyberArk’s products, scale, and combined enterprise customer bases. However, the efforts to realize the anticipated benefits and synergies will be a complex process and may disrupt both our and CyberArk’s existing operations if not implemented in a timely and efficient manner. The full benefits of the proposed acquisition of CyberArk, including the anticipated sales or growth opportunities, may not be realized as expected or may not be achieved within the anticipated time frame, or at all.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recorded, and may in the future record, liability for contingent consideration obligations from acquisitions that are to be settled in cash, the fair value of which is assessed on a quarterly basis. If changes are made in our assumptions used to determine the liability’s fair value or our assumptions are incorrect, adjustments could be made that may have a material impact, favorable or unfavorable, on our operating results. We may also be required to make cash payments of contingent consideration in excess of its initial fair value, or in excess of our expectations for a particular period, which could adversely impact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have to pay cash, incur debt, or issue equity or equity-linked securities to pay for any future acquisitions, including the pending acquisition of CyberArk, each of which could adversely affect our financial condition or the market price of our common stock, and result in dilution to our stockholders. Furthermore, the sale or issuance of equity or equity-linked debt to finance any future acquisitions could result in dilution to our stockholders.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any acquisitions may be viewed negatively by our customers, financial markets, or investors and may not ultimately strengthen our competitive position or achieve our goals and business strategy. The occurrence of any of these risks could harm our business, operating results, and financial condition.</w:t>
      </w:r>
    </w:p>
    <w:p>
      <w:pPr>
        <w:pStyle w:val="TextBody"/>
        <w:bidi w:val="0"/>
        <w:spacing w:lineRule="auto" w:line="288" w:before="120" w:after="120"/>
        <w:jc w:val="left"/>
        <w:rPr/>
      </w:pPr>
      <w:r>
        <w:rPr>
          <w:rFonts w:ascii="Montserrat;sans-serif" w:hAnsi="Montserrat;sans-serif"/>
          <w:b/>
          <w:i/>
          <w:color w:val="000000"/>
          <w:sz w:val="18"/>
        </w:rPr>
        <w:t>We may not complete the acquisition of CyberArk within the timeframe we anticipate or at all, which could negatively impact our future business and financial results</w:t>
      </w:r>
      <w:r>
        <w:rPr>
          <w:rFonts w:ascii="Montserrat;sans-serif" w:hAnsi="Montserrat;sans-serif"/>
          <w:b/>
          <w:color w:val="000000"/>
          <w:sz w:val="18"/>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completion of the acquisition of CyberArk is subject to a number of conditions, including, among others: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effectiveness of a registration statement on Form S-4 to be filed by us registering the shares of our common stock to be issued to CyberArk shareholders as consideration in the acquisition and the absence of any stop order or proceedings seeking a stop order;</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 xml:space="preserve">the approval for listing on Nasdaq of our shares of common stock to be issued in connection with the proposed acquisition; </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obtaining the requisite CyberArk shareholder approval in connection with the proposed acquisition;</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the expiration or termination of any waiting period (or extensions thereof) applicable to the acquisition under the Hart-Scott-Rodino Antitrust Improvements Act of 1976, as amended (the “HSR Act”) and the making, approval, expiration, termination or receipt of, as applicable, all applicable filings, registrations, waiting periods (or extensions of waiting periods) and approvals under specified antitrust and foreign investment laws; and</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 xml:space="preserve">the absence of governmental restraints or prohibitions preventing the consummation of the proposed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94310"/>
                <wp:effectExtent l="0" t="0" r="0" b="0"/>
                <wp:wrapNone/>
                <wp:docPr id="21" name="Frame2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No assurance can be given that the required CyberArk shareholder approval and governmental and regulatory consents and approvals will be obtained or that any of the required conditions to closing will be satisfied in a timely manner or at all. As a result, although it is currently anticipated that we will complete the acquisition of CyberArk during the second half of our fiscal 2026, the possible timing and likelihood of completion are uncertain. There can be no assurance that the acquisition of CyberArk will be completed in the anticipated timeframe or at all. Any delay in completing the proposed acquisition could cause the combined company not to realize, or to be delayed in realizing, some or all of the benefits and synergies that we anticipate to achieve if the proposed acquisition were to be successfully completed within its expected time frame.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the relevant governmental authorities from which approvals under specified antitrust and foreign investment laws must be obtained may impose or seek to impose conditions on the completion of the acquisition or require changes to the terms of the proposed acquisition or agreements to be entered into in connection with the CyberArk acquisition. Such conditions or changes and the process of obtaining these approvals, could have the effect of delaying or impeding completion of the CyberArk acquisition or imposing additional costs or limitations on us following the acquisition, which may have an adverse effect on our business, results of operations,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failure or inability to satisfy all of the required conditions could delay the completion of the acquisition for a significant period of time or prevent it from occurring at all. In addition, under limited circumstances, we or CyberArk may elect to terminate the definitive agreement or we and CyberArk may mutually decide to terminate the definitive agreement, before or after obtaining the requisite CyberArk shareholder approval. A termination of the definitive agreement could materially and adversely affect our business, results of operations and reputation.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the acquisition of CyberArk is delayed or not completed, we could be subject to a number of risks that may adversely affect our business, operating results and financial condition, including, among other things: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experience negative reactions from the financial markets, including negative impacts on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could incur significant acquisition costs that we would be unable to recoup;</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under specified circumstances in connection with the termination of the definitive agreement, we would be required to pay CyberArk a termination fee of $1.0 billion;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negative perception from industry contacts, business partners, and other third parties, which could impact our operations or our ability to compete for new business or obtain renewals in the marketplace more broadly;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reputational harm, negative publicity, negative reactions from employees, and other negative impacts resulting from delay or failure to complete the acquisition of CyberArk.</w:t>
      </w:r>
    </w:p>
    <w:p>
      <w:pPr>
        <w:pStyle w:val="TextBody"/>
        <w:bidi w:val="0"/>
        <w:spacing w:lineRule="auto" w:line="288" w:before="120" w:after="120"/>
        <w:jc w:val="left"/>
        <w:rPr/>
      </w:pPr>
      <w:r>
        <w:rPr>
          <w:rFonts w:ascii="Montserrat;sans-serif" w:hAnsi="Montserrat;sans-serif"/>
          <w:b/>
          <w:i/>
          <w:color w:val="000000"/>
          <w:sz w:val="18"/>
        </w:rPr>
        <w:t>As a result of the CyberArk acquisition, we anticipate that the scope and size of our business will substantially change and result in certain incremental risks, including increased competition</w:t>
      </w:r>
      <w:r>
        <w:rPr>
          <w:rFonts w:ascii="Montserrat;sans-serif" w:hAnsi="Montserrat;sans-serif"/>
          <w:b/>
          <w:color w:val="000000"/>
          <w:sz w:val="18"/>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believe that the CyberArk acquisition will expand the scope and size of our business by adding substantial assets and operations to our existing business. The anticipated future growth of our business may impose significant added responsibilities on our senior management, and our senior management’s attention may be diverted from the management of our business and its day-to-day operations to the completion and integration of the CyberArk acquisition. The CyberArk acquisition could also create uncertainty for our and CyberArk’s employees, partners, and customers, particularly during the anticipated post-acquisition integration process, and result in disruption to existing business relationships and the development of new business relationships. </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Following completion of the proposed acquisition of CyberArk, our success, including with respect to realizing the anticipated benefits and synergies from the proposed acquisition, will depend, in part, on our ability to manage our expansion, which poses numerous risks and uncertainties, including the need to integrate the operations and business of CyberArk into our existing business in a timely and efficient manner, to combine systems and management controls and to integrate relationships with industry contacts and business partners. In addition, we will be required to devote significant attention and resources prior to closing to prepare for the post-closing integration and operation of the combined company, and we will be required post-closing to devote significant attention and resources to successfully align our and CyberArk’s business practices and operations. This process may disrupt our business and, if ineffective, would limit the anticipated benefits and synergies of the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expect that the completion of the CyberArk acquisition will result in increased competition, including, as a result of our entry into a new product category. CyberArk faces intense competition in the information security and identity security industry in which it operates, characterized by constant innovation, evolving customer requirements, and rapid adoption of different technologies and services. These added competitive pressures could result in decreased sales, price reductions, increased operating costs, and lower revenues, margins and net income for the combined company. These impacts could also result in a delay in realizing, or our failure to realize, expected synergies or cost savings from the CyberArk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of these risks could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94310"/>
                <wp:effectExtent l="0" t="0" r="0" b="0"/>
                <wp:wrapNone/>
                <wp:docPr id="22" name="Frame2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we must continually change our products and expand our business strategy in response to changes in network infrastructure requirements, including the expanding use of cloud computing. For example, organizations are moving portions of their data to be managed by third parties, primarily infrastructure, platform, and application service providers, and may rely on such providers’ internal security measures. While we have historically been successful in developing, acquiring, and marketing new products and product enhancements that respond to technological change and evolving industry standards, we may not be able to continue to do so, and there can be no assurance that our new or future offerings will be successful or will achieve widespread market acceptance. If we fail to accurately predict and address end-customers’ changing needs and emerging technological trends in the enterprise security industry, including in the areas of AI, mobility, virtualization, cloud computing, and software-defined networks, our business could be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technology in our portfolio is especially complex because it needs to effectively identify and respond to new and increasingly sophisticated methods of attack, while minimizing the impact on network performance. Additionally, some of our new features and related enhancements may require us to develop new hardware architectures that involve complex, expensive, and time-consuming research and development processes. The development of our portfolio is difficult and the timetable for commercial release and availability is uncertain as there can be long time periods between releases and availability of new features. If we experience unanticipated delays in the availability of new products, features, and subscriptions, and fail to meet customer expectations for such availability, our competitive position and business prospects will be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success of new features depends on several factors, including appropriate new product definition, differentiation of new products, subscriptions, and features from those of our competitors, and market acceptance of these products, services, and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achieve market acceptance of our products and subscriptions, or that products, subscriptions, and technologies developed by others will not render our products, subscriptions, and technologies obsolete or noncompetitive.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 xml:space="preserve">Issues in the development and deployment of AI may result in reputational harm and legal liability and could adversely affect our results of operations.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incorporated, and are continuing to develop and deploy, AI into many of our products and solutions, including services that support our products and solutions. We are also incorporating AI into the operations of our business. AI presents challenges and risks that could affect our products and solutions, and the operations of our business. For example, AI algorithms may have flaws, and datasets used to train models may be insufficient or contain biased information. The AI that is being incorporated into our products, solutions, and business operation tools may not be successful or beneficial, and instead may cause technical, legal or ethical problems or result in increased costs. The investments that we are making across our business in AI reflect our ongoing efforts to innovate and provide products and services that are useful to our customers, as well as provide efficiencies in our business. Such investments ultimately may not be commercially viable or may not result in an adequate return of capital and we may incur unanticipated liabilities. These efforts could subject us to regulatory risk, legal liability, including under legislation regulating AI in jurisdictions such as the E.U. and laws and regulations being considered in other jurisdictions, or brand or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94310"/>
                <wp:effectExtent l="0" t="0" r="0" b="0"/>
                <wp:wrapNone/>
                <wp:docPr id="23" name="Frame2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rapid evolution of AI, including potential government regulation of AI, requires us to invest significant resources to develop, test, and maintain AI in our products and services in a manner that meets evolving requirements and expectations. The rules and regulations adopted by policymakers over time may require us to make changes to our business practices. Developing, testing, and deploying AI systems may also increase the cost profile of our offerings due to the nature of the computing costs involved in such systems.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network or data security incident may allow unauthorized access to our network or data, harm our reputation, create additional liability,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Increasingly, companies are subject to a wide variety of attacks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supply chain attacks), and add to the risks to our internal networks, cloud-deployed enterprise and customer-facing environments and the information they store and process. Incidences of cyberattacks and other cybersecurity breaches and incidents have increased and are likely to continue to increase. We and our third-party service providers face security threats and attacks from a variety of sources. Despite our efforts and processes to prevent breaches of our internal networks, systems, and websites, our data, corporate systems, and security measures, as well as those of our third-party service providers, are still vulnerable to computer viruses, break-ins, phishing attacks, ransomware attacks, or other types of attacks from outside parties, or breaches due to employee error, malfeasance, or some combination of these. We cannot guarantee that the measures we have taken to protect our networks, systems, and websites will provide adequate security. Furthermore, as a well-known provider of security solutions, we may be a more attractive target for such attacks. The Russia-Ukraine war and associated activities in Ukraine and Russia may increase the risk of cyberattacks on various types of infrastructure and operations, and the United States government has warned companies to be prepared for additional Russian cyberattacks in response to the Sanctions on Russia.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security breach or incident, or an attack against our service availability suffered by us, or our third-party service providers, could impact our networks or networks secured by our products and subscriptions, creating system disruptions or slowdowns and exploiting security vulnerabilities of our products. In addition, the information stored or otherwise processed on our networks, or those of our third-party service providers, could be accessed, publicly disclosed, altered, lost, stolen, rendered unavailable, or otherwise used or processed without authorization, which could subject us to liability and cause us financial harm. Any actual or perceived breach of security in our systems or networks, or any other actual or perceived data security incident we or our third-party service providers suffer, could result in significant damage to our reputation, negative publicity, loss of channel partners, end-customers, and sales, loss of competitive advantages over our competitors, increased costs to remedy any problems and otherwise respond to any incident, regulatory investigations and enforcement actions, demands, costly litigation, and other liability. In addition, we may incur significant costs and operational consequences of investigating, remediating, eliminating, and putting in place additional tools, devices, and other measures designed to prevent actual or perceived security breaches and other security incidents, as well as the costs to comply with any notification obligations resulting from any security incidents. Any of these negative outcomes could adversely impact the market perception of our products and subscriptions and end-customer and investor confidence in our company and could seriously harm our business or operating results.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or vulnerabilities may cause our products or subscriptions to become partially or fully unavailable temporarily or permanently, to be vulnerable to security attacks, cause them to fail to help secure networks, or interrupt end-customers’ networking traffic, or the availability of other information technology infrastructure or systems. For example, in November 2024, we became aware of an authentication bypass vulnerability through the management web interface of certain versions of our PAN-OS software. To remediate the matter, we published a security advisory to advise customers, provided software updates for affected PAN-OS versions, and engaged in customer outreach, support and remediation efforts for potentially impacted customers. Because the techniques used by computer hackers to access or sabotage networks change frequently and generally are not recognized until launched against a target, we may be unable to anticipate these techniques and provide a solution in time to protect our end-customers’ networks. In addition, due to the Russia-Ukraine war, there could be a significant increase in Russian cyberattacks against our customers, resulting in an increased risk of a security breach of our end-customers’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94310"/>
                <wp:effectExtent l="0" t="0" r="0" b="0"/>
                <wp:wrapNone/>
                <wp:docPr id="24" name="Frame2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Furthermore, defects or errors in products or software, or migrations or updates to those products or software, could result in a failure to effectively update end-customers’ hardware and cloud-based products or otherwise cause problems in our customers’ hardware, networks or information technology infrastructure or systems. The data centers, networks, and cloud infrastructure that we use to deliver our products and services may experience technical failures and downtime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varied specifications, utilize multiple protocol standards, deploy products from multiple vendors, and contain multiple generations of products that have been added over time. As a result, when problems occur in a network, it may be difficult to identify the sources of these problems. Any such technical failure, downtime or failures in general may temporarily or permanently disable our end-customers’ networks, information technology infrastructure or other systems, or expose our end-customers’ networks to attacks from security threats.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such problem in our products and subscriptions, or migrations or updates to those products or software, whether real or perceived, could result in: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expenditure of significant financial and product development resources in efforts to analyze, correct, eliminate, or work-around errors or defects or to address and eliminate vulnerabilities;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loss of existing or potential end-customers or channel partners;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delayed or lost revenue;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delay or failure to attain market acceptance;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 increase in warranty claims compared with our historical experience, or an increased cost of servicing warranty claims, either of which would adversely affect our gross margins;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litigation, regulatory inquiries, investigations, or other proceedings, each of which may be costly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While we maintain insurance coverage for certain types of losses, our insurance coverage may not adequately cover any claim asserted against us, if at all. In addition, even claims that ultimately are unsuccessful could result in our expenditure of funds in litigation, divert management’s time and other resources,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and could result in damage to our reputation, negative publicity, loss of channel partners, end-customers and sales, increased costs to remedy any problem, and costly litigation.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After our products and subscriptions are deployed within our end-customers’ networks, our end-customers depend on our technical support services, as well as the support of our channel partners, to resolve any issues relating to our products. Many larger enterprise, service provider, and government entity end-customers have more complex networks and require higher levels of support than smaller end-customers. If our channel partners do not effectively provide support to the satisfaction of our end-customers, we may be required to provide direct support to such end-customers, which would require us to hire additional personnel and to invest in additional resources. If we are not able to hire such resources fast enough to keep up with unexpected demand, support to our end-customers will be negatively impacted, and our end-customers’ satisfaction with our products and subscriptions will be adversely affected. Additionally, to the extent that we may need to rely on our sales engineers to provide post-sales support while we are ramping up our support resources, our sales productivity will be negatively impacted, which would harm our revenues. Accordingly, our failure, or our channel partners’ failure, to provide and maintain high-quality support services could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94310"/>
                <wp:effectExtent l="0" t="0" r="0" b="0"/>
                <wp:wrapNone/>
                <wp:docPr id="25" name="Frame2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INTELLECTUAL PROPERTY AND TECHNOLOGY LICENSING</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Claims by others that we infringe their intellectual property rights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Companies in the enterprise security industry own large numbers of patents, copyrights, trademarks, domain names, and trade secrets and frequently enter into litigation based on allegations of infringement, misappropriation, or other violations of intellectual property rights. In addition, non-practicing entities also frequently bring claims of infringement of intellectual property rights. Third parties are asserting, have asserted, and may in the future assert claims of infringement of intellectual property rights against us. For example, on January 31, 2024, in the Centripetal Networks, Inc. lawsuit against us, a jury returned a verdict of non-willful infringement, and, after post-trial motions, a judgment was issued in the lawsuit on October 3, 2024 assessing a lump sum damages amount of $113.6 million, plus statutory interest, which is currently on appeal. Additional examples of patent infringement cases have been disclosed in Note 13. Commitments and Contingencies in Part II, Item 8 of this Annual Report on Form 10-K.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While we have been increasing the size of our patent portfolio, our competitors and others may now and in the future have significantly larger and more mature patent portfolios than we have. In addition, litigation has involved and will likely continue to involve patent-holding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94310"/>
                <wp:effectExtent l="0" t="0" r="0" b="0"/>
                <wp:wrapNone/>
                <wp:docPr id="26" name="Frame2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or otherwise distribute or use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Although we take reasonable steps to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94310"/>
                <wp:effectExtent l="0" t="0" r="0" b="0"/>
                <wp:wrapNone/>
                <wp:docPr id="27" name="Frame2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license technology from third parties, and our inability to maintain those licenses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Because we depend on manufacturing partners to build and ship our hardware products, we are susceptible to manufacturing and logistics delays and pricing fluctuations that could prevent us from shipping customer orders on time, if at all, or on a cost-effective basis, which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depend on manufacturing partners, primarily our EMS provider, Flex, to manufacture our hardware product lines. Our substantial reliance on Flex, as well as other manufacturing partners subjects us to potential concentration risks, such as reduced control over the manufacturing process, quality assurance, product costs, product supply, and timing. Our hardware products are manufactured by our manufacturing partners at facilities located primarily in the United States. Some of the components in our products are sourced either through Flex or directly by us from component suppliers outside the United States. The portion of our hardware products that are sourced outside the United States may subject us to geopolitical risks, additional logistical risks, risks associated with international trade agreements, international trade disputes, trade regulations, tariffs, or risks associated with complying with local rules and regulations in foreign countries.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Significant changes to existing international trade agreements, tariffs, or trade regulations could lead to sourcing or logistics disruption resulting from import delays or the imposition of increased tariffs on our sourcing partners. For example, the United States and Chinese governments have each enacted, and discussed additional, import tariffs. Some components that we import for final manufacturing in the United States have been impacted by these tariffs. As a result, our costs have increased and we have raised, and may be required to further raise, prices on our hardware products in response to these and potential new trade regulations.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or pandemic, capacity shortages, or quality problems at one of our manufacturing partners would negatively affect sales of our product lines manufactured by that manufacturing partner and adversely affect our business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Managing the supply of our hardware products and product components is complex. Insufficient supply and inventory would result in lost sales opportunities or delayed revenue, while excess inventory would harm our gross margins.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manufacturing partners procure components and build our hardware products based on our forecasts, and we generally do not hold inventory for a prolonged period of time. These forecasts are based on historical trends and analysis, adjusted for overall market conditions. In order to reduce manufacturing lead times and plan for adequate component supply, from time to time we may issue forecasts for components and products that are non-cancelable and non-returnable.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94310"/>
                <wp:effectExtent l="0" t="0" r="0" b="0"/>
                <wp:wrapNone/>
                <wp:docPr id="28" name="Frame2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inventory management systems and related supply chain visibility tools may be inadequate to enable us to forecast accurately and effectively manage supply of our hardware products and product components. If we ultimately determine that we have excess supply, we may have to reduce our prices and write 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hardware product revenue or loss of sales opportunities altogether as potential end-customers turn to competitors’ products that are readily available. If we are unable to effectively manage our supply and inventory, our operating results could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hardware products contain key components from limited sources of supply, including outside the United States, and we are susceptible to supply shortages, supply changes, and international regulations, which, in certain cases, have disrupted or delayed our scheduled product deliveries to our end-customers, increased our costs and may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hardware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power outages, or health risks, and international regulations, such as tariffs, sanctions and import and export controls. In the past, we experienced supply chain disruption and have incurred increased costs resulting from inflationary pressures and changes in U.S. trade policy. We are also monitoring the tensions between China and Taiwan, and between the U.S. and China, which could have an adverse impact on our business or results of operations in future periods.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do not have volume purchase contracts with any of our component suppliers, and they could cease selling to us at any time. If we are unable to obtain a sufficient quantity of these components in a timely manner for any reason, sales of our hardware products could be delayed or halted, or we could be forced to expedite shipment of such components or our hardware products at dramatically increased costs. Our component suppliers also change their selling prices frequently in response to market trends, including industry-wide increases in demand. Because we do not have, for the most part, volume purchase contracts with our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obtain a sufficient volume of the necessary components for our hardware products on commercially reasonable terms or the quality of the components do not meet our requirements, we could also be forced to redesign our products and qualify new components from alternate component suppliers. The resulting stoppage or delay in selling our hardware products and the expense of redesigning our hardware products would result in lost sales opportunities and damage to customer relationships, which would adversely affect our business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retain, and motivate our key technical, sales, and management personnel, our business could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we may find it difficult to maintain these important aspects of our corporate culture. While we are taking steps to develop a more inclusive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94310"/>
                <wp:effectExtent l="0" t="0" r="0" b="0"/>
                <wp:wrapNone/>
                <wp:docPr id="29" name="Frame2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generate a significant amount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ability to grow our business and our future success will depend to a significant extent on our ability to expand our operations and customer base worldwide. Many of our customers, resellers, partners, suppliers, and manufacturers operate around the world. Operating in a global marketplace, we are subject to risks associated with having an international reach and compliance and regulatory requirements. We may experience difficulties in attracting, managing, and retaining an international staff, and we may not be able to recruit and maintain successful strategic distributor relationships internationally. Business practices in the international markets that we serve may differ from those in the United States and may require us in the future to include terms other than our standard terms related to payment, warranties, or performance obligations in end-customer contracts.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our international sales and operations are subject to a number of risks, including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political, economic, and social uncertainty around the world, health risks such as epidemics and pandemics like COVID-19, macroeconomic challenges, terrorist activities, the Russia-Ukraine war, tensions between China and Taiwan, the hostilities in Israel and the surrounding region, and continued hostilities in the Middle East;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unexpected changes in, or the application of, foreign and domestic laws and regulations (including intellectual property rights protections), regulatory practices or enforcement policies, trade restrictions, international trade agreements, and foreign legal requirements, including those applicable to the importation, certification, and localization of our products, tariffs, and tax laws and treaties, including regulatory and trade policy changes adopted by the current administration, such as the Sanctions on Russia, or foreign countries in response to regulatory changes adopted by the current administration;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fluctuations in foreign currency exchange rates, which could negatively affect our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sales contracts are primarily denominated in U.S. dollars, and therefore, a predominant amount of our revenue is not subject to foreign currency risk. However, in the event of a strengthening of the U.S. dollar against foreign currencies in which we conduct business, the cost of our products to our end-customers outside of the United States would increase, which could adversely affect our financial condition and operating results. In addition, increased international sales in the future, including through our channel partners and other partnerships or as a result of our acquisitions, may result in increased foreign currency denominated sales, increasing our foreign currency risk.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incurred outside the United States and denominated in foreign currencies are generally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revenue and operating expenditures. As of July 31, 2025, the total notional amount of our outstanding foreign currency forward contracts was $1.5 billion. For more information on our hedging transactions, refer to Note 6. Derivative Instruments in Part II, Item 8 of this Annual Report on Form 10-K.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risks associated with having operations and employees located in Israel.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business operations in Israel and intend to continue growing our presence in Israel, including in connection with our proposed acquisition of CyberArk. Our operations in Israel could be disrupted by political instability, civil unrest, terrorist attacks, acts of violence, acts of war, or other military actions, including the hostilities in Israel and the surrounding region. The future of peace efforts between Israel and its Arab neighbors remains uncertain. The effects of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94310"/>
                <wp:effectExtent l="0" t="0" r="0" b="0"/>
                <wp:wrapNone/>
                <wp:docPr id="30" name="Frame3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many of our employees in Israel are obligated to perform annual reserve duty in the Israeli military and are subject to being called for active duty under emergency circumstances, which has occurred as a result of hostilities in Israel and the surrounding region. We cannot predict the full impact of these conditions on us in the future, particularly if emergency circumstances or an escalation in the political situation or hostilities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subject to international trade regulations and governmental export and import controls that could subject us to liability or impair our ability to compete in international markets.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or regulations,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such as the Sanctions on Russia,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International trade laws and regulations continuously evolve to address technological developments and changes in geopolitical conditions. New regulations or other governmental restrictions that may result from these circumstances could inhibit our ability to transact with foreign suppliers, customers, or other business partners. Monitoring and responding to these developments may require significant resources, and failure to comply with resulting regulations and restrictions may have an adverse impact on our business or results of 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PRIVACY AND DATA PROTECTION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incur increased costs to comply with privacy and data protection laws and, if we fail to comply, we could be subject to government enforcement actions, private litigation and adverse publicity.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wide variety of laws and regulations apply to the collection, use, retention, protection, disclosure, transfer, and other processing of personal data in jurisdictions where we and our customers operate. Compliance with these laws and regulations is difficult and costly. These laws and regulations are also subject to frequent, inconsistent and unexpected changes; new, modified or additional laws or regulations may be adopted; and rulings that invalidate prior laws, regulations, or interpretations of such laws or regulations may be issued. For example, we are subject to the E.U. General Data Protection Regulation (“E.U. GDPR”) and the U.K. General Data Protection Regulation (“U.K. GDPR,” and collectively the “GDPR”), each of which imposes stringent data protection requirements, provide for costly penalties for noncompliance (up to the greater of (a) €20 million under the E.U. GDPR or £17.5 million under the U.K. GDPR, and (b) 4% of annual worldwide turnover), and confer the right upon data subjects and consumer associations to lodge complaints with supervisory authorities, seek judicial remedies, and obtain compensation for damages resulting from violations.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94310"/>
                <wp:effectExtent l="0" t="0" r="0" b="0"/>
                <wp:wrapNone/>
                <wp:docPr id="31" name="Frame3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GDPR imposes restrictions, among other things, on the transfer of personal data outside of the European Economic Area (“EEA”) (or, in the case of the U.K. GDPR, the U.K.) to non-EEA countries, such as the United States, unless adequate safeguards are implemented or a derogation applies. In practice,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the UK Extension to the E.U.-U.S. DPF, and the Swiss-U.S. Data Privacy Framework (collectively, the “DPF”), as set forth by the U.S. Department of Commerce, regarding transfers of certain personal data from the E.U., the U.K., and Switzerland to the United States. The DPF has been recognized as adequate under applicable law to allow transfers of personal data from the E.U., U.K., and Switzerland, as the case may be, to companies in the U.S. that have self-certified to the framework. However, the DPF may be subject to legal challenges, which could invalidate its use, disrupt our ability to rely on such data transfer mechanisms, and otherwise cause the legal requirements for such data transfers to be uncertain.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the U.K. government enacted the U.K. Data (Use and Access) Act 2025 on June 19, 2025, which includes targeted amendments to the U.K.’s data protection regime that cause it to expressly deviate from the GDPR. This development creates new compliance challenges and has created uncertainty with respect to the European Commission’s adequacy determination regarding the U.K.’s data protection regime, which has been extended until December 2025 and must be renewed to permit ongoing relatively unrestricted data flows from the EEA to the UK.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Among other effects of these developments, we may experience additional costs associated with increased compliance burdens, reduced demand for our offerings from current or prospective customers in the EEA, Switzerland, and the U.K. (collectively, “Europe”) to use our products, on account of the risks identified in the Schrems II decision or other developments relating to cross-border data transfers, and we may find it necessary or desirable to make further changes to our processing of personal data of European residents. The regulatory environment applicable to the handling of European residents’ personal data and cross-border data transfers, and our actions taken in response, may cause us to assume additional liabilities or incur additional costs. Moreover, much like with Schrems II, we anticipate future legal challenges to the approved data transfer mechanisms between Europe and the United States, including a challenge to the E.U.-U.S. DPF. Such legal challenges could result in additional legal and regulatory risk, compliance costs, and in our business, operating results, and financial condition being harmed.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subject to the California Consumer Privacy Act, as amended by the California Privacy Rights Act (collectively, the “CCPA”). The CCPA requires, among other things, covered businesses to provide enhanced disclosures to California consumers and to afford such consumers certain rights regarding their personal data, including the right to opt out of data sales for targeted advertising, and creates a private right of action to individuals affected by a data breach, if the breach was caused by a lack of reasonable security. The effects of the CCPA have been significant, requiring us to modify our data processing practices and policies and to incur substantial costs and expenses for compliance. Moreover, other U.S. states have enacted laws relating to privacy and security that are potentially relevant to us. These include laws enacted in at least 20 U.S. states, a portion of which are expected to come into effect over the course of our fiscal 2026. The U.S. Department of Justice also has issued rules regarding access to, or transfer of, certain bulk sensitive personal data by countries of concern. Increasingly complex federal or state laws and regulations relating to privacy and security, and interpretations and enforcement of existing laws and regulations relating to these matters, may require us to modify our data practices and policies, incur substantial compliance costs and expenses, and add further complexity to our compliance efforts that could adversely affect our business or increase our potential liability if we fail to comply or are alleged to have done so.</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may also from time to time be subject to obligations relating to personal data by contract, or face assertions that we are subject to self-regulatory obligations or industry standards. Additionally, the Federal Trade Commission and many state attorneys general are more regularly bringing enforcement actions in connection with federal and state consumer protection laws for false or deceptive acts or practices in relation to the online collection, use, dissemination, and security of personal data. Internationally, data localization laws may mandate that personal data collected in a foreign country be processed and stored within that country.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and our customers may face risk of enforcement actions by regulators or data protection authorities, private litigation and adverse publicity including reputational damage and loss of customer confidence for alleged violations of any of the foregoing obligations. Any such claims could result in substantial costs, ongoing remedial, audit and reporting obligations, and diversion of resources, and distract management and technical personnel. These potential liabilities and enforcement actions could also have an overall negative effect on our business, operating results, and financial condition. The amount and scope of insurance we maintain may not cover all types of claims that may arise.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New legislation affecting the scope of personal data and personal information where we or our customers and partners have operations, especially relating to classification of Internet Protocol (“IP”) addresses, machine identification, AI and machine learning, location data, and other information, may limit or inhibit our ability to operate or expand our business, including limiting strategic partnerships that may involve the sharing or uses of data, and may require significant expenditures and efforts in order to comply. Notably, public perception of potential privacy, data protection, or information security concerns—whether or not valid—may harm our reputation and inhibit adoption of our products and subscriptions by current and future end-customers. Each of these laws and regulations, and any changes to these laws and regulations, or new laws and regulations, could impose significant limitations, or require changes to our business model or practices or growth strategy, which may increase our compliance expenses and make our business more costly or less efficient to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94310"/>
                <wp:effectExtent l="0" t="0" r="0" b="0"/>
                <wp:wrapNone/>
                <wp:docPr id="32" name="Frame3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Tax, Accounting, Compliance, and Regulatory Risks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have exposure to tax liabilities that are greater than anticipated.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position, operating results, and cash flow.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our future income tax obligations and effective tax rates could be adversely affected by changes in, or interpretations of, tax laws, regulations, policies, or decisions in the United States or in the other jurisdictions in which we operate including as a result of the U.S. federal tax legislation commonly referred to as the One Big Beautiful Bill Act, which was signed into law on July 4, 2025.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our estimates or judgments, including those relating to our critical accounting policies, are based on assumptions that change or prove to be incorrect, our operating results differ from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consolidated financial statements in conformity with U.S. generally accepted accounting principles (“U.S. GAAP”) requires management to make estimates and assumptions that affect the amounts reported on our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relating to critical accounting policies, refer to the section entitled “Critical Accounting Estimates” in “Management’s Discussion and Analysis of Financial Condition and Results of Operations” in Part II, Item 7 of this Annual Report on Form 10-K.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causing investor perceptions to be adversely affected and potentially resulting in a decline in the market price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94310"/>
                <wp:effectExtent l="0" t="0" r="0" b="0"/>
                <wp:wrapNone/>
                <wp:docPr id="33" name="Frame3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reputation and/or business could be negatively impacted by corporate responsibility matters and/or our reporting of such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is an increasing focus from regulators, certain investors, and other stakeholders concerning corporate responsibility matters, both in the United States and internationally. We communicate certain corporate responsibility-related initiatives, goals, and/or commitments regarding sustainability matters, inclusion, responsible sourcing and social investments, and other matters in our annual Corporate Responsibility Report, on our website, in our filings with the SEC, and elsewhere. These initiatives, goals, or commitments could be difficult to achieve and costly to implement. We could fail to achieve, or be perceived to fail to achieve, our corporate responsibility-related initiatives, goals, or commitments. In addition, we could be criticized for the timing, scope or nature of these initiatives, goals, or commitments, or for any revisions to them. To the extent that our required and voluntary disclosures about corporate responsibility matters increase, we could be criticized for the accuracy, adequacy, or completeness of such disclosures. Our actual or perceived failure to achieve our corporate responsibility-related initiatives, goals, or commitments could negatively impact our reputation, result in corporate responsibility-focused investors not purchasing and holding our stock, or otherwise materially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are or may become subject to various new and proposed sustainability-related laws and regulations, including, for example, the E.U.’s Corporate Sustainability Reporting Directive. Additional regulation may require us to incur significant additional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operating results or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Failure to comply with governmental laws and regulations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regulation by various federal, state, local, and foreign governmental agencies, including agencies responsible for monitoring and enforcing employment and labor laws, workplace safety, product safety, environmental laws, consumer protection laws, privacy, data security, and data-protection laws, anti-bribery laws (including the U.S. Foreign Corrupt Practices Act and the U.K. Anti-Bribery Act), import/export controls, federal securities laws, and tax laws and regulations. These laws and regulations may also impact our innovation and business drivers in developing new and emerging technologies (e.g., AI and machine learning).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94310"/>
                <wp:effectExtent l="0" t="0" r="0" b="0"/>
                <wp:wrapNone/>
                <wp:docPr id="34" name="Frame3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market price of our common stock historically has been volatile, and the value of an investment in our common stock could decline.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market price of our common stock has historically been, and is likely to continue to be, volatile and could be subject to wide fluctuations in response to various factors, some of which are beyond our control and unrelated to our business, operating results, or financial condition. These fluctuations could cause a loss of all or part of an investment in our common stock. Factors that could cause fluctuations in the market price of our common stock include, but are not limited to:</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announcements of new products, subscriptions or technologies, commercial relationships, strategic partnerships, acquisitions, or other events by us or our competitors;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price and volume fluctuations in the overall stock market from time to time;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news announcements that affect investor perception of our industry, including reports related to the discovery of significant cyberattacks;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significant volatility in the market price and trading volume of technology companies in general and of companies in our industry;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fluctuations in the trading volume of our shares or the size of our public float;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our operating results or fluctuations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whether our operating results meet the expectations of securities analysts or investors;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actual or anticipated changes in the expectations of securities analysts or investors, whether as a result of our forward-looking statements, our failure to meet such expectations or otherwise;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inaccurate or unfavorable research reports about our business and industry published by securities analysts or reduced coverage of our company by securities analysts;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litigation involving us, our industry,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actions instituted by activist shareholders or others;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regulatory developments in the United States, foreign countries, or both;</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major catastrophic events;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sales or repurchases of large blocks of our common stock or substantial future sales by our directors, executive officers, employees, and significant stockholders;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shares of our common stock, including as part of a capital-raising transaction or as consideration in or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issuances or sales of debt or securities convertible into or exchangeable for shares of our common stock, including in connection with acquisitions;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departures of key personnel; or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geopolitical or economic uncertainty around the world.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the past, following periods of volatility in the market price of a company’s securities, securities class action litigation has often been brought against that company. Securities litigation could result in substantial costs, divert our management’s attention and resources from our business, and have a material adverse effect on our business, operating results, and financial condition.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warrant transactions may affect the value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June 2020, we issued our 0.375% Convertible Senior Notes due 2025 (the “2025 Notes”), which matured on June 1, 2025. In connection with the sale of our 2025 Notes, we entered into convertible note hedge transactions (the “2025 Note Hedges”) with certain counterparties. In connection with the sale of the 2025 Notes and purchase of the 2025 Note Hedges, we also entered into warrant transactions with the counterparties pursuant to which we sold warrants (the “2025 Warrants”) for the purchase of our common stock. The 2025 Warrants could have a dilutive effect to the extent that the market price per share of our common stock exceeds the applicable strike price of the 2025 Warrants unless, subject to certain conditions, we elect to cash settle such 2025 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applicable counterparties to the 2025 Warrants or their respective affiliates may modify their related hedge positions by entering into or unwinding various derivatives with respect to our common stock and/or purchasing or selling our common stock or other securities of ours in secondary market transactions prior to the expiration of the 2025 Warrants. This activity could cause or prevent an increase or a decrease in the market price of our common stock.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do not make any representation or prediction as to the direction or magnitude of any potential effect that the transactions described above may have on the price of our common stock. In addition, we do not make any representation that the counterparties or their respective affiliates will engage in these transactions or that these transactions, once commenced, will not be discontinued without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94310"/>
                <wp:effectExtent l="0" t="0" r="0" b="0"/>
                <wp:wrapNone/>
                <wp:docPr id="35" name="Frame3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issuance of additional stock in connection with financings, acquisitions, investments, our stock incentive plans, exercise of the 2025 Warrants, or otherwise will dilute stock held by all other stockholders.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restated certificate of incorporation authorizes us to issue up to 2.0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or exchangeable for shares of our common stock from time to time in connection with a financing or other capital raising, acquisition, investment, our stock incentive plans, the settlement of our 2025 Warrants, or otherwise. Any such issuance, including in connection with the proposed CyberArk acquisition, could result in substantial dilution to our existing stockholders and cause the market price of our common stock to decline.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cannot guarantee that our share repurchase program will be fully consummated or that it will enhance shareholder value, and share repurchases could affect the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July 31, 2025, we had $1.0 billion available under our share repurchase program which will expire on December 31, 2025 and may be suspended or discontinued at any time without prior notice. Although our board of directors has authorized a share repurchase program, we are not obligated to repurchase any specific dollar amount or to acquire any specific number of shares under the program. The share repurchase program could affect the price of our common stock, increase volatility, and diminish our cash reserves. In addition, the program may be suspended or terminated at any time, which may result in a decrease in the price of our common stock.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do not intend to pay dividends for the foreseeable future.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charter documents and Delaware law could discourage takeover attempts and lead to management entrenchment, which could also reduce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Provisions in our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 among other things: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establish that our board of directors is divided into three classes, Class I, Class II, and Class III, with three-year staggered terms;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issue shares of preferred stock and to determine the price and other terms of those shares, including preferences and voting rights, without stockholder approval;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provide our board of directors with the exclusive right to elect a director to fill a vacancy created by the expansion of our board of directors or the resignation, death, or removal of a director;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prohibit our stockholders from taking action by written consent;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specify that special meetings of our stockholders may be called only by the chairman of our board of directors, our president, our secretary, or a majority vote of our board of directors;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require the affirmative vote of holders of at least 66 2/3% of the voting power of all of the then outstanding shares of the voting stock, voting together as a single class, to amend the provisions of our restated certificate of incorporation relating to the issuance of preferred stock and management of our business or our amended and restated bylaws;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amend our bylaws by majority vote;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establish advance notice procedures with which our stockholders must comply to nominate candidates to our board of directors or to propose matters to be acted upon at a stockholders’ meeting.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Any of these provisions could, under certain circumstances, depress the market price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94310"/>
                <wp:effectExtent l="0" t="0" r="0" b="0"/>
                <wp:wrapNone/>
                <wp:docPr id="36" name="Frame3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General Risk Factors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is subject to the risks of earthquakes, fire, power outages, floods, health risks, and other catastrophic events, and to interruption by man-made problems, such as terrorism.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Both our corporate headquarters and the location where our products are manufactured are located in the San Francisco Bay Area, a region known for seismic activity. In addition, other natural disasters, such as fire or floods, a significant power outage, telecommunications failure, terrorism, an armed conflict, cyberattacks, epidemics and pandemics such as COVID-19, or other geopolitical unrest could affect our supply chain, manufacturers, logistics providers, channel partners,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failure to raise additional capital or generate the significant capital necessary to expand our operations and invest in new products and subscriptions could reduce our ability to compete and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intend to continue to make investments to support our business growth and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If we engage in future debt financings, the holders of such additional debt would have priority over the holders of our common stock. Current and future indebtedness may also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operating results, and financial condition.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1B. Unresolved Staff Comments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1C. Cybersecurity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a global cybersecurity provider, cybersecurity risk management is an integral part of our overall enterprise risk management program. We recognize the critical importance that a strong cybersecurity risk management program plays in maintaining the trust and confidence of our customers, end users, business partners, stockholders and employees. We have established processes and procedures for identifying, evaluating, and responding to risks from cybersecurity threats, including any potential unauthorized access to our information systems that may result in adverse effects on the confidentiality, integrity, or availability of our information systems, data, or information assets.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Cybersecurity Risk Management and Strategy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cybersecurity risk management program includes written policies, standards, and procedures for maintaining data privacy, product security and information security to mitigate cybersecurity risks, and to identify, evaluate and respond to cybersecurity threats, vulnerabilities and incidents. Our cybersecurity risk management program and strategy is implemented across several areas, which include, but are not limited to, the following:</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Information Security. </w:t>
      </w:r>
      <w:r>
        <w:rPr>
          <w:rFonts w:ascii="Montserrat;sans-serif" w:hAnsi="Montserrat;sans-serif"/>
          <w:b w:val="false"/>
          <w:color w:val="000000"/>
          <w:sz w:val="18"/>
        </w:rPr>
        <w:t xml:space="preserve">We maintain a written information security program, which provides for policies, standards, guidelines, and administrative, technical and physical safeguards that we believe are reasonably designed, in light of the nature, size and complexity of our operations, to protect the resiliency of our operations and the confidentiality, integrity, and availability of our information systems, data, and information assets. The organizational, administrative and technical measures we implement are based on recognized security frameworks established by the National Institute of Standards and Technology, security measures aligned with the ISO/IEC 27000 series of standards, and other generally recognized industry standards. The program is assessed regularly and in light of new and emerging cybersecurity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94310"/>
                <wp:effectExtent l="0" t="0" r="0" b="0"/>
                <wp:wrapNone/>
                <wp:docPr id="37" name="Frame3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Technical Safeguards and Product Security.</w:t>
      </w:r>
      <w:r>
        <w:rPr>
          <w:color w:val="000000"/>
        </w:rPr>
        <w:t xml:space="preserve"> </w:t>
      </w:r>
      <w:r>
        <w:rPr>
          <w:rFonts w:ascii="Montserrat;sans-serif" w:hAnsi="Montserrat;sans-serif"/>
          <w:b w:val="false"/>
          <w:color w:val="000000"/>
          <w:sz w:val="18"/>
        </w:rPr>
        <w:t>We deploy and maintain a variety of technologies to prevent and detect cybersecurity threats across the network, endpoint and cloud. We also apply security-by-design principles in our software development lifecycle, track vulnerabilities of open-source software, and run internal and external network scans at least weekly and after any meaningful change in our network configuration. We conduct regular application security assessments, including our assessments for internet-facing applications that collect, transmit, or display end user data. We also employ tooling in certain areas to help prevent deviations from policy.</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Incident Response and Reporting.</w:t>
      </w:r>
      <w:r>
        <w:rPr>
          <w:color w:val="000000"/>
        </w:rPr>
        <w:t xml:space="preserve"> </w:t>
      </w:r>
      <w:r>
        <w:rPr>
          <w:rFonts w:ascii="Montserrat;sans-serif" w:hAnsi="Montserrat;sans-serif"/>
          <w:b w:val="false"/>
          <w:color w:val="000000"/>
          <w:sz w:val="18"/>
        </w:rPr>
        <w:t xml:space="preserve">We maintain incident response and recovery protocols to enable prompt, effective and orderly identification, evaluation, management, and disposition of actual and potential security threats and incidents, including for purposes of escalation and internal and external-notification steps. We maintain a cross-functional incident response team, including senior representatives from information security, information technology, product, legal, privacy, communications, and finance, that is involved in assessing cybersecurity threats and incidents, assigning severity levels, and evaluating the potential impact, including the potential impact on our business strategy, results of operations and financial condition. This allows for prompt direction of appropriate personnel and resources for incident management and response, and internal notification to appropriate members of management, which may include our chief executive officer, chief product and technology officer, vice president acting as chief information security officer, general counsel, chief financial officer, and/or chief accounting officer, and the security committee of our board of directors (the “Security Committee”). The protocols also establish steps designed to publicly report and/or alert external stakeholders as and when required by applicable law or otherwise determined appropriate.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Third-Party Risk Management.</w:t>
      </w:r>
      <w:r>
        <w:rPr>
          <w:color w:val="000000"/>
        </w:rPr>
        <w:t xml:space="preserve"> </w:t>
      </w:r>
      <w:r>
        <w:rPr>
          <w:rFonts w:ascii="Montserrat;sans-serif" w:hAnsi="Montserrat;sans-serif"/>
          <w:b w:val="false"/>
          <w:color w:val="000000"/>
          <w:sz w:val="18"/>
        </w:rPr>
        <w:t>We maintain a risk-based approach to identifying and overseeing cybersecurity risks presented by certain third parties, including vendors, service providers, suppliers, operations parties, and other external users of our systems, as well as the systems of third parties that could adversely impact our business in the event of a cybersecurity incident affecting those third-party systems. This includes a security process to conduct due diligence prior to engaging contractors and vendors and assess the security capabilities of subcontractors and vendors on a periodic basis.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Risk and Readiness Assessments.</w:t>
      </w:r>
      <w:r>
        <w:rPr>
          <w:color w:val="000000"/>
        </w:rPr>
        <w:t xml:space="preserve"> </w:t>
      </w:r>
      <w:r>
        <w:rPr>
          <w:rFonts w:ascii="Montserrat;sans-serif" w:hAnsi="Montserrat;sans-serif"/>
          <w:b w:val="false"/>
          <w:color w:val="000000"/>
          <w:sz w:val="18"/>
        </w:rPr>
        <w:t xml:space="preserve">We engage in at least quarterly assessments and testing of the effectiveness of our cybersecurity risk management program and incident response protocols that are designed to identify and evaluate vulnerabilities and weaknesses, address cybersecurity threats and test our readiness to respond to cybersecurity incidents. These efforts include, but are not limited to, threat modeling, vulnerability scans, penetration testing, audits, and tabletop exercises. We regularly engage third parties to perform assessments on our cybersecurity measures, such as audits and independent reviews of our compliance with various security compliance standards, including those established by the American Institute of Certified Public Accountants, operating effectiveness and penetration tests. The results of such assessments are reported to management and we adjust our cybersecurity policies, standards, processes and practices as necessary based on the information provided by these assessments, audits and reviews.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Awareness and Training. </w:t>
      </w:r>
      <w:r>
        <w:rPr>
          <w:rFonts w:ascii="Montserrat;sans-serif" w:hAnsi="Montserrat;sans-serif"/>
          <w:b w:val="false"/>
          <w:color w:val="000000"/>
          <w:sz w:val="18"/>
        </w:rPr>
        <w:t xml:space="preserve">We provide regular training for educating employees about corporate policies and procedures and information security designed to provide our employees with knowledge of best practices and effective tools for safeguarding our data and assets and reducing security risks based on the human threat vector. Our information security compliance training, data protection training, and code of conduct training is mandatory for all employees.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Governance. </w:t>
      </w:r>
      <w:r>
        <w:rPr>
          <w:rFonts w:ascii="Montserrat;sans-serif" w:hAnsi="Montserrat;sans-serif"/>
          <w:b w:val="false"/>
          <w:color w:val="000000"/>
          <w:sz w:val="18"/>
        </w:rPr>
        <w:t>As discussed in more detail below under the heading, “Cybersecurity Governance,” our board of directors’ has delegated oversight of enterprise security risk management, including, but not limited to, cybersecurity risk management to the Security Committee. As part of our cybersecurity risk management procedures, senior members of management and the Security Committee are informed regarding security events based on established reporting thresholds, and are provided ongoing updates regarding any such meaningful threat or incident.</w:t>
      </w:r>
    </w:p>
    <w:p>
      <w:pPr>
        <w:pStyle w:val="TextBody"/>
        <w:bidi w:val="0"/>
        <w:spacing w:lineRule="auto" w:line="288" w:before="120" w:after="120"/>
        <w:jc w:val="left"/>
        <w:rPr/>
      </w:pPr>
      <w:r>
        <w:rPr>
          <w:rFonts w:ascii="Montserrat;sans-serif" w:hAnsi="Montserrat;sans-serif"/>
          <w:b w:val="false"/>
          <w:color w:val="000000"/>
          <w:sz w:val="18"/>
        </w:rPr>
        <w:t>We have not identified any risks from cybersecurity threats, including as a result of any previous cybersecurity incidents, that have materially impacted or are reasonably likely to materially impact us, including our business strategy, results of operations, or financial condition, to date. However, we face ongoing and increasing cybersecurity risks, including from threat actors that are becoming more sophisticated and effective over time, and we can provide no assurance that there will not be incidents in the future or that past or future threats or incidents will not materially affect us, including our business strategy, results of operations, or financial conditions. For additional information regarding these risks, please refer to Part I, Item 1A, “Risk Factors,” in this Form 10-K, including, but not limited to, the risk factor entitled “</w:t>
      </w:r>
      <w:r>
        <w:rPr>
          <w:rFonts w:ascii="Montserrat;sans-serif" w:hAnsi="Montserrat;sans-serif"/>
          <w:b w:val="false"/>
          <w:i/>
          <w:color w:val="000000"/>
          <w:sz w:val="18"/>
        </w:rPr>
        <w:t>A network or data security incident may allow unauthorized access to our network or data, harm our reputation, create additional liability, and adversely impact our financial results.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94310"/>
                <wp:effectExtent l="0" t="0" r="0" b="0"/>
                <wp:wrapNone/>
                <wp:docPr id="38" name="Frame3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Cybersecurity Governance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Security Committee, which is composed of our independent directors and chaired by our chief product and technology officer, facilitates our board of directors’ responsibility for oversight of security matters, including product security, data security, cybersecurity, security risk management, risk exposure and related controls and enterprise risk management related to these risks. The Security Committee reports regularly to the Board following meetings of the Security Committee with respect to its review and assessment of security matters and other matters that are relevant to the Security Committee’s discharge of its responsibilities. The Security Committee meets quarterly to review with our vice president acting as chief information security officer and other members of management, which may include our chief executive officer, chief product and technology officer, chief financial officer, and general counsel, our cybersecurity programs, cybersecurity risks, mitigation or remediation strategies, and other matters impacting the committee’s responsibilities.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Management is responsible for day-to-day risk management activities, including identifying, assessing and managing our exposure to cybersecurity risks, establishing processes and procedures to ensure that potential cybersecurity risk exposures are monitored, implementing appropriate mitigation or remediation measures as needed, and maintaining cybersecurity risk management programs. Our vice president acting as chief information security officer is responsible for defining, overseeing, managing, implementing, and reviewing compliance with the information security programs described above under the heading “Cybersecurity Risk Management and Strategy.” This vice president receives regular reports from our information security team and monitors the prevention, detection, and mitigation or remediation of cybersecurity risks. In addition, as described in further detail above under the heading “Cybersecurity Risk Management and Strategy,” a cross functional team is involved in assessing and managing the risks from cybersecurity threats and incidents, and reporting information about risks to the Security Committee.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information security team consists of dedicated personnel who are experienced information systems security professionals and information security managers with many years of experience across a variety of technology sub-specialties. In particular, our vice president acting as chief information security officer has extensive experience in the management of cybersecurity risk management programs, having served in various roles in information technology and security for over 25 years. In addition, six of the eleven members of our board of directors have expertise in overseeing cybersecurity and information security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Properties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headquarters is located in Santa Clara, California, where we lease approximately 941,000 square feet of space under three lease agreements that expire in July 2028, with options to extend the lease terms through July 2046. We also lease space for personnel around the world, including Israel and India. In addition, we provide our cloud-based subscription offerings through data centers operated under co-location arrangements in the United States, Europe, and Asia. Refer to Note 12. Leases in Part II, Item 8 of this Annual Report on Form 10-K for more information on our operating leases. Additionally, we own 10.4 acres of land adjacent to our headquarters in Santa Clara, California, which we intend to develop to accommodate future expansion, the speed of which development has been slowed due to the current environment.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3. Legal Proceedings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set forth under the “Litigation” subheading in Note 13. Commitments and Contingencies in Part II, Item 8 of this Annual Report on Form 10-K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4. Mine Safety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94310"/>
                <wp:effectExtent l="0" t="0" r="0" b="0"/>
                <wp:wrapNone/>
                <wp:docPr id="39" name="Frame3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Montserrat;sans-serif" w:hAnsi="Montserrat;sans-serif"/>
          <w:b/>
          <w:color w:val="000000"/>
          <w:sz w:val="40"/>
        </w:rPr>
      </w:pPr>
      <w:r>
        <w:rPr>
          <w:rFonts w:ascii="Montserrat;sans-serif" w:hAnsi="Montserrat;sans-serif"/>
          <w:b/>
          <w:color w:val="000000"/>
          <w:sz w:val="40"/>
        </w:rPr>
        <w:t>Item 5. Market for Registrant’s Common Equity, Related Stockholder Matters and Issuer Purchases of Equity Securities</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Market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common stock, $0.0001 par value per share, is traded on the Nasdaq Global Select Market under the symbol “PANW.” </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Holders of Record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August 18, 2025, there were 565 holders of record of our common stock. Because many of our shares of common stock are held by brokers and other institutions on behalf of stockholders, we are unable to estimate the total number of stockholders represented by these record holders. </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Dividend Policy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Securities Authorized for Issuance under Equity Compensation Plans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See Part III, Item 12 “Security Ownership of Certain Beneficial Owners and Management and Related Stockholder Matters” of this Annual Report on Form 10-K for more information regarding securities authorized for issuance.</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Recent Sales of Unregistered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three months ended July 31, 2025, holders of the 2025 Notes converted $382.9 million in aggregate principal amount of the 2025 Notes, which we repaid in cash. We also issued 5.6 million shares of our unregistered common stock to the holders of the 2025 Notes for the conversion value in excess of the principal amount. These shares of our common stock were issued in reliance on the exemption from registration provided by Section 3(a)(9) of the Securities Act of 1933, as amended (the “Securities Act”).</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Purchases of Equity Securities by the Issuer and Affiliated Purchasers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2019, we announced that our board of directors authorized a $1.0 billion share repurchase program, which is funded from available working capital. We subsequently announced additional increases to this share repurchase program, bringing the total authorization to $4.1 billion, with $1.0 billion remaining as of July 31, 2025. The expiration date of this repurchase authorization was extended to December 31, 2025, and our repurchase program may be suspended or discontinued at any time. Repurchases under our program are to be made at management’s discretion on the open market, through privately negotiated transactions, transactions structured through investment banking institutions, block purchase techniques, 10b5-1 trading plans, or a combination of the foregoing. During the three months ended July 31, 2025, we did not repurchase any shares pursuant to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94310"/>
                <wp:effectExtent l="0" t="0" r="0" b="0"/>
                <wp:wrapNone/>
                <wp:docPr id="40" name="Frame4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Stock Price Performance Graph</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performance graph compares the cumulative total return on our common stock with that of the Nasdaq 100 Index, the Standard &amp; Poor’s 500 Index, and the Standard &amp; Poor’s 500 Information Technology Index for the five years ended July 31, 2025. This performance graph assumes $100 was invested on July 31, 2020, in each of the common stock of Palo Alto Networks, Inc., the Nasdaq 100 Index, the Standard &amp; Poor’s 500 Index, and the Standard &amp; Poor’s 500 Information Technology Index, and assumes the reinvestment of any dividends. The stock price performance on this performance graph is not necessarily indicative of future stock price performance.</w:t>
      </w: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Palo Alto Networks, Inc. Comparison of Total Return Performance</w:t>
      </w:r>
    </w:p>
    <w:p>
      <w:pPr>
        <w:pStyle w:val="TextBody"/>
        <w:bidi w:val="0"/>
        <w:spacing w:before="120" w:after="120"/>
        <w:jc w:val="center"/>
        <w:rPr/>
      </w:pPr>
      <w:r>
        <w:rPr/>
        <w:drawing>
          <wp:inline distT="0" distB="0" distL="0" distR="0">
            <wp:extent cx="6457950" cy="428625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457950" cy="428625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529"/>
        <w:gridCol w:w="350"/>
        <w:gridCol w:w="351"/>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52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Company/Index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7/31/2025</w:t>
            </w:r>
          </w:p>
        </w:tc>
      </w:tr>
      <w:tr>
        <w:trPr/>
        <w:tc>
          <w:tcPr>
            <w:tcW w:w="123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Palo Alto Networks, Inc.</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155.93 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195.02 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293.01 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380.66 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407.00 </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Nasdaq 100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S&amp;P 500 Index</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136.45 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130.11 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179.62 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208.95 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S&amp;P 500 Information Technology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94310"/>
                <wp:effectExtent l="0" t="0" r="0" b="0"/>
                <wp:wrapNone/>
                <wp:docPr id="42" name="Frame4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 xml:space="preserve">Item 7. Management’s Discussion and Analysis of Financial Condition and Results of Operations </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Management’s Discussion and Analysis of Financial Condition and Results of Operations (“MD&amp;A”) is organized as follows: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Overview.</w:t>
      </w:r>
      <w:r>
        <w:rPr>
          <w:color w:val="000000"/>
        </w:rPr>
        <w:t xml:space="preserve"> </w:t>
      </w:r>
      <w:r>
        <w:rPr>
          <w:rFonts w:ascii="Montserrat;sans-serif" w:hAnsi="Montserrat;sans-serif"/>
          <w:b w:val="false"/>
          <w:color w:val="000000"/>
          <w:sz w:val="18"/>
        </w:rPr>
        <w:t>A discussion of our business and overall analysis of financial and other highlights in order to provide context for the remainder of MD&amp;A.</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Key Financial Metrics.</w:t>
      </w:r>
      <w:r>
        <w:rPr>
          <w:color w:val="000000"/>
        </w:rPr>
        <w:t xml:space="preserve"> </w:t>
      </w:r>
      <w:r>
        <w:rPr>
          <w:rFonts w:ascii="Montserrat;sans-serif" w:hAnsi="Montserrat;sans-serif"/>
          <w:b w:val="false"/>
          <w:color w:val="000000"/>
          <w:sz w:val="18"/>
        </w:rPr>
        <w:t>A summary of our U.S. GAAP and non-GAAP key financial metrics, which management monitors to evaluate our performance.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Results of Operations.</w:t>
      </w:r>
      <w:r>
        <w:rPr>
          <w:color w:val="000000"/>
        </w:rPr>
        <w:t xml:space="preserve"> </w:t>
      </w:r>
      <w:r>
        <w:rPr>
          <w:rFonts w:ascii="Montserrat;sans-serif" w:hAnsi="Montserrat;sans-serif"/>
          <w:b w:val="false"/>
          <w:color w:val="000000"/>
          <w:sz w:val="18"/>
        </w:rPr>
        <w:t>A discussion of the nature and trends in our financial results and an analysis of our financial results comparing fiscal 2025 to fiscal 2024. For discussion and analysis related to our financial results comparing fiscal 2024 to 2023, refer to Part II, Item 7. Management’s Discussion and Analysis of Financial Condition and Results of Operations in our Annual Report on Form 10-K for fiscal 2024, which was filed with the Securities and Exchange Commission on September 6, 2024.</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Liquidity and Capital Resources.</w:t>
      </w:r>
      <w:r>
        <w:rPr>
          <w:color w:val="000000"/>
        </w:rPr>
        <w:t xml:space="preserve"> </w:t>
      </w:r>
      <w:r>
        <w:rPr>
          <w:rFonts w:ascii="Montserrat;sans-serif" w:hAnsi="Montserrat;sans-serif"/>
          <w:b w:val="false"/>
          <w:color w:val="000000"/>
          <w:sz w:val="18"/>
        </w:rPr>
        <w:t>An analysis of changes on our balance sheets and cash flows, and a discussion of our financial condition and our ability to meet cash needs.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Critical Accounting Estimates.</w:t>
      </w:r>
      <w:r>
        <w:rPr>
          <w:color w:val="000000"/>
        </w:rPr>
        <w:t xml:space="preserve"> </w:t>
      </w:r>
      <w:r>
        <w:rPr>
          <w:rFonts w:ascii="Montserrat;sans-serif" w:hAnsi="Montserrat;sans-serif"/>
          <w:b w:val="false"/>
          <w:color w:val="000000"/>
          <w:sz w:val="18"/>
        </w:rPr>
        <w:t>A discussion of our accounting policies that require critical estimates, assumptions, and judgments.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Recent Accounting Pronouncements.</w:t>
      </w:r>
      <w:r>
        <w:rPr>
          <w:color w:val="000000"/>
        </w:rPr>
        <w:t xml:space="preserve"> </w:t>
      </w:r>
      <w:r>
        <w:rPr>
          <w:rFonts w:ascii="Montserrat;sans-serif" w:hAnsi="Montserrat;sans-serif"/>
          <w:b w:val="false"/>
          <w:color w:val="000000"/>
          <w:sz w:val="18"/>
        </w:rPr>
        <w:t>A discussion of expected impacts of impending accounting changes on financial information to be reported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Montserrat;sans-serif" w:hAnsi="Montserrat;sans-serif"/>
          <w:b/>
          <w:color w:val="706F6F"/>
          <w:sz w:val="32"/>
        </w:rPr>
      </w:pPr>
      <w:r>
        <w:rPr>
          <w:rFonts w:ascii="Montserrat;sans-serif" w:hAnsi="Montserrat;sans-serif"/>
          <w:b/>
          <w:color w:val="706F6F"/>
          <w:sz w:val="32"/>
        </w:rPr>
        <w:t>Overview</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mission is to be the cybersecurity partner of choice for enterprises, organizations, service providers, and government entities to protect our digital way of life. Our cybersecurity platforms and services help secure enterprise users, networks, clouds, and endpoints by delivering comprehensive cybersecurity backed by artificial intelligence (“AI”) and automation.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 </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Network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network security platform is designed to deliver complete zero trust solutions to our customers. The platform includes: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Secure Access Service Edge (“SASE”).</w:t>
      </w:r>
      <w:r>
        <w:rPr>
          <w:color w:val="000000"/>
        </w:rPr>
        <w:t xml:space="preserve"> </w:t>
      </w:r>
      <w:r>
        <w:rPr>
          <w:rFonts w:ascii="Montserrat;sans-serif" w:hAnsi="Montserrat;sans-serif"/>
          <w:b w:val="false"/>
          <w:color w:val="000000"/>
          <w:sz w:val="18"/>
        </w:rPr>
        <w:t>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 xml:space="preserve">Access, when combined with Prisma SD-WAN, provides a comprehensive single-vendor SASE offering that is used to secure remote workforces and cloud-delivered branch offices. Prisma Access Browser further extends SASE security and data protection to the end user device, providing workers with freedom to access business applications securely using our secure browser from any device.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color w:val="000000"/>
        </w:rPr>
        <w:t xml:space="preserve"> </w:t>
      </w:r>
      <w:r>
        <w:rPr>
          <w:rFonts w:ascii="Montserrat;sans-serif" w:hAnsi="Montserrat;sans-serif"/>
          <w:b w:val="false"/>
          <w:color w:val="000000"/>
          <w:sz w:val="18"/>
        </w:rPr>
        <w:t>Our hardware ML-Powered Next-Generation Firewalls (“NGFWs”) secure on-premises environments including campus locations and data centers. Our software NGFWs secure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Cloud-Delivered Security Services (“CDSS”). </w:t>
      </w:r>
      <w:r>
        <w:rPr>
          <w:rFonts w:ascii="Montserrat;sans-serif" w:hAnsi="Montserrat;sans-serif"/>
          <w:b w:val="false"/>
          <w:color w:val="000000"/>
          <w:sz w:val="18"/>
        </w:rPr>
        <w:t>Our network security platform integrates a suite of CDSS that complements our SASE and Firewall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IoT/OT Security,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Data Loss Prevention (“Enterprise DLP”), AI for IT Operations (“AIOps”), Software as a Service (“SaaS”) Security, and AI Access Security. Through these add-on services, our customers are able to secure their content, applications, users, and devices across their entire organization.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Prisma AIRS.</w:t>
      </w:r>
      <w:r>
        <w:rPr>
          <w:color w:val="000000"/>
        </w:rPr>
        <w:t xml:space="preserve"> </w:t>
      </w:r>
      <w:r>
        <w:rPr>
          <w:rFonts w:ascii="Montserrat;sans-serif" w:hAnsi="Montserrat;sans-serif"/>
          <w:b w:val="false"/>
          <w:color w:val="000000"/>
          <w:sz w:val="18"/>
        </w:rPr>
        <w:t xml:space="preserve">Prisma AIRS is a comprehensive AI security platform that has been designed to protect customers’ entire AI ecosystem by providing AI model scanning, posture management, red teaming, run-time security, and AI agent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94310"/>
                <wp:effectExtent l="0" t="0" r="0" b="0"/>
                <wp:wrapNone/>
                <wp:docPr id="43" name="Frame4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 (“SCM”).</w:t>
      </w:r>
      <w:r>
        <w:rPr>
          <w:color w:val="000000"/>
        </w:rPr>
        <w:t xml:space="preserve"> </w:t>
      </w:r>
      <w:r>
        <w:rPr>
          <w:rFonts w:ascii="Montserrat;sans-serif" w:hAnsi="Montserrat;sans-serif"/>
          <w:b w:val="false"/>
          <w:color w:val="000000"/>
          <w:sz w:val="18"/>
        </w:rPr>
        <w:t>SCM, our network security management solution, centrally manages network security across all remote workers, branches, headquarters, campuses, and cloud. SCM leverages AI to simplify and strengthen network security by enabling customers to proactively pinpoint vulnerabilities, gain real-time remediation recommendations, and enhance overall digital experiences, thereby reducing operational burden. This comprehensive solution includes Strata Copilot, which offers a natural language interface for enhanced insights and guided remediation, and integrates Autonomous Digital Experience Monitoring (“ADEM”) to proactively maintain infrastructure health, facilitate AI-driven one-click troubleshooting, and ensure seamless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Security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AI-powered Cortex platform transforms end-to-end security operations with unified data, AI, and automation for more secure, faster, and cost effective outcomes. We have consolidated our industry-leading Security Operations and Cloud Security capabilities on a single comprehensive platform to provide centralized visibility, proactive protection, real-time prevention, AI-driven insights, and automated remediation across enterprise and cloud.</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Security Operations. </w:t>
      </w:r>
      <w:r>
        <w:rPr>
          <w:rFonts w:ascii="Montserrat;sans-serif" w:hAnsi="Montserrat;sans-serif"/>
          <w:b w:val="false"/>
          <w:color w:val="000000"/>
          <w:sz w:val="18"/>
        </w:rPr>
        <w:t>We deliver the next generation of security operations capabilities that unifies standalone Security Information and Event Management (“SIEM”) tools, endpoint security, security automation, cloud detection and response (“CDR”), as well as attack surface management (“ASM”) capabilities on our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security orchestration, automation, and response (“SOAR”), and Cortex Xpanse</w:t>
      </w:r>
      <w:r>
        <w:rPr>
          <w:rFonts w:ascii="Montserrat;sans-serif" w:hAnsi="Montserrat;sans-serif"/>
          <w:b w:val="false"/>
          <w:color w:val="000000"/>
          <w:sz w:val="12"/>
        </w:rPr>
        <w:t>®</w:t>
      </w:r>
      <w:r>
        <w:rPr>
          <w:rFonts w:ascii="Montserrat;sans-serif" w:hAnsi="Montserrat;sans-serif"/>
          <w:b w:val="false"/>
          <w:color w:val="000000"/>
          <w:sz w:val="18"/>
        </w:rPr>
        <w:t xml:space="preserve">, for ASM. </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 xml:space="preserve">Cloud Security. </w:t>
      </w:r>
      <w:r>
        <w:rPr>
          <w:rFonts w:ascii="Montserrat;sans-serif" w:hAnsi="Montserrat;sans-serif"/>
          <w:b w:val="false"/>
          <w:color w:val="000000"/>
          <w:sz w:val="18"/>
        </w:rPr>
        <w:t>We deliver comprehensive security across the cloud application development lifecycle through Cortex Cloud,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Unit 42 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transforming their security strategy with a threat-informed approach, and responding to security incidents on behalf of our clients. Additionally, Unit 42 offers managed detection and response (“MDR”) and managed threat hunting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fiscal 2025 and 2024, total revenue was $9.2 billion and $8.0 billion, respectively, representing year-over-year growth of 14.9%. Our growth reflects the increased adoption of our portfolio, which consists of product, subscriptions, and support. We believe our portfolio will enable us to benefit from recurring revenues and new revenues as we continue to grow our end-customer base. As of July 31, 2025,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 </w:t>
      </w:r>
    </w:p>
    <w:p>
      <w:pPr>
        <w:pStyle w:val="TextBody"/>
        <w:bidi w:val="0"/>
        <w:spacing w:lineRule="auto" w:line="288" w:before="120" w:after="120"/>
        <w:jc w:val="left"/>
        <w:rPr/>
      </w:pPr>
      <w:r>
        <w:rPr>
          <w:rFonts w:ascii="Montserrat;sans-serif" w:hAnsi="Montserrat;sans-serif"/>
          <w:b w:val="false"/>
          <w:color w:val="000000"/>
          <w:sz w:val="18"/>
        </w:rPr>
        <w:t>Our product revenue grew to $1.8 billion or 19.5% of total revenue for fiscal 2025, representing year-over-year growth of 12.4%. Product revenue is derived from sales of hardware products, primarily our ML-Powered Next-Generation Firewall, and software licenses, including SD-WAN, the VM-Series, and Panorama</w:t>
      </w:r>
      <w:r>
        <w:rPr>
          <w:rFonts w:ascii="Montserrat;sans-serif" w:hAnsi="Montserrat;sans-serif"/>
          <w:b w:val="false"/>
          <w:color w:val="000000"/>
          <w:sz w:val="12"/>
        </w:rPr>
        <w:t>®</w:t>
      </w:r>
      <w:r>
        <w:rPr>
          <w:rFonts w:ascii="Montserrat;sans-serif" w:hAnsi="Montserrat;sans-serif"/>
          <w:b w:val="false"/>
          <w:color w:val="000000"/>
          <w:sz w:val="18"/>
        </w:rPr>
        <w:t>. Our ML-Powered Next-Generation Firewall incorporates our PAN-OS operating system, which provides a consistent set of capabilities across our entire network security product line. Our hardware products and software licenses include a broad set of built-in networking and security features and functionalities. Our products are designed for different performance requirements throughout an organization, ranging from our PA-400, which is designed for small organizations and remote or branch offices, to our top-of-the-line PA-7500, which is designed for large-scale data centers and service provider use. The same firewall functionality that is delivered in our hardware products is also available in our VM-Series virtual firewalls, which secure virtualized and cloud-based computing environments, and in our CN-Series container firewalls, which secure container environments and traffic.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94310"/>
                <wp:effectExtent l="0" t="0" r="0" b="0"/>
                <wp:wrapNone/>
                <wp:docPr id="44" name="Frame4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subscription and support revenue grew to $7.4 billion or 80.5% of total revenue for fiscal 2025, representing year-over-year growth of 15.5%. Our subscriptions provide our end-customers with near real-time access to the latest intrusion prevention, web security, modern malware prevention, data loss prevention, CASB and AI security capabilities across the network, endpoints, and the cloud. Our subscriptions also include security operations, which enable customers to leverage the AI-powered Cortex platform for advanced capabilities such as security information and event management, next-generation antivirus, endpoint detection and response, extended detection and response, identity threat detection and response, cloud detection and response, SOAR, ASM, and CNAPP for comprehensive cloud security. Additionally, we offer MDR for Cortex subscriptions, powered by Unit 42’s elite expertise. When customers purchase our physical, virtual, or container firewalls, or certain cloud offerings, they typically purchase support in order to receive ongoing security updates, upgrades, bug fixes, and repairs. In addition to the subscriptions purchased with these firewalls, customers may also purchase other subscriptions on a per-user, per-endpoint, or capacity-based basis. We also offer professional services, including incident response, risk management, and digital forensic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continue to invest in innovation as we evolve and further extend the capabilities of our portfolio, as we believe that innovation and timely development of new features and products are essential to meeting the needs of our end-customers and improving our competitive position. During fiscal 2025, we introduced several new offerings, including: Prisma Access Browser, new capabilities in our OT Security solution, Cortex Cloud, Prisma AIRS, and Cortex XSIAM 3.0. Additionally, in August 2024, we completed the acquisition of certain IBM QRadar assets, which we expect will help accelerate the growth of our Cortex business. Additionally, in July 2025, we completed the acquisition of Protect AI, which we expect will enhance the capabilities of our AI security platform. In July 2025, we also entered into a definitive agreement to acquire Software Ltd. (“CyberArk”), an identity security company, which acquisition is expected to close during the second half of our fiscal 2026.</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IMPACT OF MACROECONOMIC DEVELOPMENTS AND OTHER FACTORS ON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overall performance depends in part on worldwide economic and geopolitical conditions and their impact on customer behavior. Changes in legislation or regulations and actions by regulators, including changes in enforcement and administration policies, may have an impact on our results of operations and financial condition. Significant changes in U.S. or global trade policy, including further expansion of U.S. export/imports controls and tariffs, as well as retaliatory actions by other countries, may materially and adversely affect our business. Further, economic conditions, including inflation, high interest rates, slow growth, fluctuations in foreign exchange rates, supply chain disruptions, impacts of trade regulations or international trade disputes, and other conditions, may adversely affect our results of operations and financial performance.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hostilities in Israel and the surrounding region have continued to result in economic and political uncertainty. While we have business operations in Israel, and intend to continue growing our presence in Israel, we currently do not expect significant business disruption. We are actively monitoring, evaluating, and responding to the situation.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monitoring the impact of inflationary pressures and the tensions between China and Taiwan, and between the U.S. and China, which could have an adverse impact on our business or results of operations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Key Financial Metrics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and margin below under “Results of Operations.”</w:t>
      </w:r>
    </w:p>
    <w:tbl>
      <w:tblPr>
        <w:tblW w:w="7448" w:type="dxa"/>
        <w:jc w:val="left"/>
        <w:tblInd w:w="0" w:type="dxa"/>
        <w:tblLayout w:type="fixed"/>
        <w:tblCellMar>
          <w:top w:w="28" w:type="dxa"/>
          <w:left w:w="28" w:type="dxa"/>
          <w:bottom w:w="28" w:type="dxa"/>
          <w:right w:w="28" w:type="dxa"/>
        </w:tblCellMar>
      </w:tblPr>
      <w:tblGrid>
        <w:gridCol w:w="1895"/>
        <w:gridCol w:w="1668"/>
        <w:gridCol w:w="1671"/>
        <w:gridCol w:w="226"/>
        <w:gridCol w:w="586"/>
        <w:gridCol w:w="109"/>
        <w:gridCol w:w="109"/>
        <w:gridCol w:w="109"/>
        <w:gridCol w:w="109"/>
        <w:gridCol w:w="226"/>
        <w:gridCol w:w="586"/>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billions)</w:t>
            </w:r>
          </w:p>
        </w:tc>
      </w:tr>
      <w:tr>
        <w:trPr/>
        <w:tc>
          <w:tcPr>
            <w:tcW w:w="52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Next-Generation Security Annualized Recurring Revenue</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94310"/>
                <wp:effectExtent l="0" t="0" r="0" b="0"/>
                <wp:wrapNone/>
                <wp:docPr id="45" name="Frame4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9452" w:type="dxa"/>
        <w:jc w:val="left"/>
        <w:tblInd w:w="0" w:type="dxa"/>
        <w:tblLayout w:type="fixed"/>
        <w:tblCellMar>
          <w:top w:w="28" w:type="dxa"/>
          <w:left w:w="28" w:type="dxa"/>
          <w:bottom w:w="28" w:type="dxa"/>
          <w:right w:w="28" w:type="dxa"/>
        </w:tblCellMar>
      </w:tblPr>
      <w:tblGrid>
        <w:gridCol w:w="1664"/>
        <w:gridCol w:w="1462"/>
        <w:gridCol w:w="1478"/>
        <w:gridCol w:w="226"/>
        <w:gridCol w:w="886"/>
        <w:gridCol w:w="271"/>
        <w:gridCol w:w="109"/>
        <w:gridCol w:w="109"/>
        <w:gridCol w:w="109"/>
        <w:gridCol w:w="226"/>
        <w:gridCol w:w="886"/>
        <w:gridCol w:w="271"/>
        <w:gridCol w:w="109"/>
        <w:gridCol w:w="109"/>
        <w:gridCol w:w="109"/>
        <w:gridCol w:w="226"/>
        <w:gridCol w:w="886"/>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460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 year-over-year percentage increase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margin</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72.3 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margin</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3,469.8 </w:t>
            </w:r>
          </w:p>
        </w:tc>
        <w:tc>
          <w:tcPr>
            <w:tcW w:w="2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3,100.8 </w:t>
            </w:r>
          </w:p>
        </w:tc>
        <w:tc>
          <w:tcPr>
            <w:tcW w:w="2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2,631.2 </w:t>
            </w:r>
          </w:p>
        </w:tc>
        <w:tc>
          <w:tcPr>
            <w:tcW w:w="3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Next-Generation Security Annualized Recurring Revenue (“NGS ARR”). </w:t>
      </w:r>
      <w:r>
        <w:rPr>
          <w:rFonts w:ascii="Montserrat;sans-serif" w:hAnsi="Montserrat;sans-serif"/>
          <w:b w:val="false"/>
          <w:color w:val="000000"/>
          <w:sz w:val="18"/>
        </w:rPr>
        <w:t xml:space="preserve">Our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Cash Flow Provided by Operating Activities.</w:t>
      </w:r>
      <w:r>
        <w:rPr>
          <w:color w:val="000000"/>
        </w:rPr>
        <w:t xml:space="preserve"> </w:t>
      </w:r>
      <w:r>
        <w:rPr>
          <w:rFonts w:ascii="Montserrat;sans-serif" w:hAnsi="Montserrat;sans-serif"/>
          <w:b w:val="false"/>
          <w:color w:val="000000"/>
          <w:sz w:val="18"/>
        </w:rPr>
        <w:t>We monitor cash flow provided by operating activities as a measure of our overall business performance. 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Free Cash Flow (non-GAAP).</w:t>
      </w:r>
      <w:r>
        <w:rPr>
          <w:color w:val="000000"/>
        </w:rPr>
        <w:t xml:space="preserve"> </w:t>
      </w:r>
      <w:r>
        <w:rPr>
          <w:rFonts w:ascii="Montserrat;sans-serif" w:hAnsi="Montserrat;sans-serif"/>
          <w:b w:val="false"/>
          <w:color w:val="000000"/>
          <w:sz w:val="18"/>
        </w:rPr>
        <w:t>We define free cash flow, a non-GAAP financial measure, as cash provided by operating activities less purchases of 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U.S. GAAP, is provided below:</w:t>
      </w:r>
    </w:p>
    <w:tbl>
      <w:tblPr>
        <w:tblW w:w="9986" w:type="dxa"/>
        <w:jc w:val="left"/>
        <w:tblInd w:w="0" w:type="dxa"/>
        <w:tblLayout w:type="fixed"/>
        <w:tblCellMar>
          <w:top w:w="28" w:type="dxa"/>
          <w:left w:w="28" w:type="dxa"/>
          <w:bottom w:w="28" w:type="dxa"/>
          <w:right w:w="28" w:type="dxa"/>
        </w:tblCellMar>
      </w:tblPr>
      <w:tblGrid>
        <w:gridCol w:w="1938"/>
        <w:gridCol w:w="1704"/>
        <w:gridCol w:w="1712"/>
        <w:gridCol w:w="226"/>
        <w:gridCol w:w="976"/>
        <w:gridCol w:w="109"/>
        <w:gridCol w:w="109"/>
        <w:gridCol w:w="109"/>
        <w:gridCol w:w="109"/>
        <w:gridCol w:w="226"/>
        <w:gridCol w:w="976"/>
        <w:gridCol w:w="109"/>
        <w:gridCol w:w="109"/>
        <w:gridCol w:w="109"/>
        <w:gridCol w:w="109"/>
        <w:gridCol w:w="226"/>
        <w:gridCol w:w="976"/>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35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Free cash flow (non-GAAP):</w:t>
            </w:r>
          </w:p>
        </w:tc>
        <w:tc>
          <w:tcPr>
            <w:tcW w:w="131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purchases of property, equipment, and other assets</w:t>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(2,204.7)</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(1,509.9)</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(2,033.8)</w:t>
            </w:r>
          </w:p>
        </w:tc>
        <w:tc>
          <w:tcPr>
            <w:tcW w:w="154"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(778.9)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(1,726.3)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94310"/>
                <wp:effectExtent l="0" t="0" r="0" b="0"/>
                <wp:wrapNone/>
                <wp:docPr id="46" name="Frame4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results of operations for the periods presented and as a percentage of our total revenue for those periods based on our consolidated statements of operations data. The period-to-period comparison of results is not necessarily indicative of results for future periods.</w:t>
      </w:r>
    </w:p>
    <w:tbl>
      <w:tblPr>
        <w:tblW w:w="10362" w:type="dxa"/>
        <w:jc w:val="left"/>
        <w:tblInd w:w="0" w:type="dxa"/>
        <w:tblLayout w:type="fixed"/>
        <w:tblCellMar>
          <w:top w:w="28" w:type="dxa"/>
          <w:left w:w="28" w:type="dxa"/>
          <w:bottom w:w="28" w:type="dxa"/>
          <w:right w:w="28" w:type="dxa"/>
        </w:tblCellMar>
      </w:tblPr>
      <w:tblGrid>
        <w:gridCol w:w="606"/>
        <w:gridCol w:w="401"/>
        <w:gridCol w:w="404"/>
        <w:gridCol w:w="226"/>
        <w:gridCol w:w="886"/>
        <w:gridCol w:w="109"/>
        <w:gridCol w:w="109"/>
        <w:gridCol w:w="109"/>
        <w:gridCol w:w="109"/>
        <w:gridCol w:w="365"/>
        <w:gridCol w:w="341"/>
        <w:gridCol w:w="492"/>
        <w:gridCol w:w="109"/>
        <w:gridCol w:w="109"/>
        <w:gridCol w:w="109"/>
        <w:gridCol w:w="226"/>
        <w:gridCol w:w="886"/>
        <w:gridCol w:w="109"/>
        <w:gridCol w:w="109"/>
        <w:gridCol w:w="109"/>
        <w:gridCol w:w="109"/>
        <w:gridCol w:w="365"/>
        <w:gridCol w:w="341"/>
        <w:gridCol w:w="492"/>
        <w:gridCol w:w="109"/>
        <w:gridCol w:w="109"/>
        <w:gridCol w:w="109"/>
        <w:gridCol w:w="226"/>
        <w:gridCol w:w="886"/>
        <w:gridCol w:w="109"/>
        <w:gridCol w:w="109"/>
        <w:gridCol w:w="109"/>
        <w:gridCol w:w="109"/>
        <w:gridCol w:w="353"/>
        <w:gridCol w:w="353"/>
        <w:gridCol w:w="551"/>
      </w:tblGrid>
      <w:tr>
        <w:trPr/>
        <w:tc>
          <w:tcPr>
            <w:tcW w:w="60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2023</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5,314.3 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77.1 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21.4 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21.6 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cost of revenue</w:t>
            </w:r>
            <w:r>
              <w:rPr>
                <w:rFonts w:ascii="Montserrat;sans-serif" w:hAnsi="Montserrat;sans-serif"/>
                <w:b w:val="false"/>
                <w:color w:val="000000"/>
                <w:sz w:val="12"/>
              </w:rPr>
              <w:t>(1)</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4,983.0 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72.3 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1,809.4 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1,604.0 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23.3 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33.6 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36.9 </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447.7 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operating expenses</w:t>
            </w:r>
            <w:r>
              <w:rPr>
                <w:rFonts w:ascii="Montserrat;sans-serif" w:hAnsi="Montserrat;sans-serif"/>
                <w:b w:val="false"/>
                <w:color w:val="000000"/>
                <w:sz w:val="12"/>
              </w:rPr>
              <w:t>(1)</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59.9 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65.8 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1,242.9 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683.9 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4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55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w:t>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461.8 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(1,589.3)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w:t>
            </w:r>
          </w:p>
        </w:tc>
        <w:tc>
          <w:tcPr>
            <w:tcW w:w="4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55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32.1 </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share-based compensation as follows:</w:t>
      </w:r>
    </w:p>
    <w:tbl>
      <w:tblPr>
        <w:tblW w:w="8291" w:type="dxa"/>
        <w:jc w:val="left"/>
        <w:tblInd w:w="0" w:type="dxa"/>
        <w:tblLayout w:type="fixed"/>
        <w:tblCellMar>
          <w:top w:w="28" w:type="dxa"/>
          <w:left w:w="28" w:type="dxa"/>
          <w:bottom w:w="28" w:type="dxa"/>
          <w:right w:w="28" w:type="dxa"/>
        </w:tblCellMar>
      </w:tblPr>
      <w:tblGrid>
        <w:gridCol w:w="1423"/>
        <w:gridCol w:w="1249"/>
        <w:gridCol w:w="1257"/>
        <w:gridCol w:w="226"/>
        <w:gridCol w:w="886"/>
        <w:gridCol w:w="109"/>
        <w:gridCol w:w="109"/>
        <w:gridCol w:w="109"/>
        <w:gridCol w:w="109"/>
        <w:gridCol w:w="226"/>
        <w:gridCol w:w="886"/>
        <w:gridCol w:w="109"/>
        <w:gridCol w:w="109"/>
        <w:gridCol w:w="109"/>
        <w:gridCol w:w="109"/>
        <w:gridCol w:w="226"/>
        <w:gridCol w:w="88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392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525.5 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488.4 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94310"/>
                <wp:effectExtent l="0" t="0" r="0" b="0"/>
                <wp:wrapNone/>
                <wp:docPr id="47" name="Frame4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 </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hardware products, primarily our ML-Powered Next-Generation Firewall, and software licenses, including SD-WAN, the VM-Series, and Panorama. Our hardware products and software licenses include a broad set of built-in networking and security features and functionalities. We recognize product revenue at the time of hardware shipment or delivery of software license. As a percentage of product revenue, we expect our revenue from software licenses to vary from quarter to quarter and increase over the long term as we improve features and capabilities of our on-premise software, renew our software license contracts, and expand our installed end-customer base.</w:t>
      </w:r>
    </w:p>
    <w:tbl>
      <w:tblPr>
        <w:tblW w:w="11600" w:type="dxa"/>
        <w:jc w:val="left"/>
        <w:tblInd w:w="0" w:type="dxa"/>
        <w:tblLayout w:type="fixed"/>
        <w:tblCellMar>
          <w:top w:w="28" w:type="dxa"/>
          <w:left w:w="28" w:type="dxa"/>
          <w:bottom w:w="28" w:type="dxa"/>
          <w:right w:w="28" w:type="dxa"/>
        </w:tblCellMar>
      </w:tblPr>
      <w:tblGrid>
        <w:gridCol w:w="299"/>
        <w:gridCol w:w="263"/>
        <w:gridCol w:w="264"/>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271"/>
        <w:gridCol w:w="109"/>
        <w:gridCol w:w="109"/>
        <w:gridCol w:w="109"/>
        <w:gridCol w:w="226"/>
        <w:gridCol w:w="886"/>
        <w:gridCol w:w="109"/>
        <w:gridCol w:w="109"/>
        <w:gridCol w:w="109"/>
        <w:gridCol w:w="109"/>
        <w:gridCol w:w="226"/>
        <w:gridCol w:w="886"/>
        <w:gridCol w:w="109"/>
        <w:gridCol w:w="109"/>
        <w:gridCol w:w="109"/>
        <w:gridCol w:w="109"/>
        <w:gridCol w:w="226"/>
        <w:gridCol w:w="586"/>
        <w:gridCol w:w="109"/>
        <w:gridCol w:w="109"/>
        <w:gridCol w:w="109"/>
        <w:gridCol w:w="109"/>
        <w:gridCol w:w="233"/>
        <w:gridCol w:w="233"/>
        <w:gridCol w:w="31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7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1,801.9 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1,578.4 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increased for fiscal 2025 compared to fiscal 2024 driven by an increase in price of, and allocation to, on-premise software licenses due to enhanced features and capabilities beginning in the second quarter of fiscal 2025, and an increased demand for our new generation of hardware products and accessories, partially offset by decreased demand for our prior generation of hardware products.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tbl>
      <w:tblPr>
        <w:tblW w:w="12455" w:type="dxa"/>
        <w:jc w:val="left"/>
        <w:tblInd w:w="0" w:type="dxa"/>
        <w:tblLayout w:type="fixed"/>
        <w:tblCellMar>
          <w:top w:w="28" w:type="dxa"/>
          <w:left w:w="28" w:type="dxa"/>
          <w:bottom w:w="28" w:type="dxa"/>
          <w:right w:w="28" w:type="dxa"/>
        </w:tblCellMar>
      </w:tblPr>
      <w:tblGrid>
        <w:gridCol w:w="457"/>
        <w:gridCol w:w="401"/>
        <w:gridCol w:w="403"/>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271"/>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93"/>
        <w:gridCol w:w="293"/>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9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4,974.4 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4,188.5 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785.9 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4,188.5 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3,335.4 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853.1 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25.6 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7,419.6 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6,424.2 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995.4 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6,424.2 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5,314.3 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1,109.9 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increased for fiscal 2025 compared to fiscal 2024 due to increased demand for our subscription and support offerings from our end-customers. The mix between subscription revenue and support revenue will fluctuate over time, depending on the introduction of new subscription offerings, renewals of support services, and our ability to increase sales to new and existing end-customers.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94310"/>
                <wp:effectExtent l="0" t="0" r="0" b="0"/>
                <wp:wrapNone/>
                <wp:docPr id="48" name="Frame4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REVENUE BY GEOGRAPHIC THEATER</w:t>
      </w:r>
    </w:p>
    <w:tbl>
      <w:tblPr>
        <w:tblW w:w="12740" w:type="dxa"/>
        <w:jc w:val="left"/>
        <w:tblInd w:w="0" w:type="dxa"/>
        <w:tblLayout w:type="fixed"/>
        <w:tblCellMar>
          <w:top w:w="28" w:type="dxa"/>
          <w:left w:w="28" w:type="dxa"/>
          <w:bottom w:w="28" w:type="dxa"/>
          <w:right w:w="28" w:type="dxa"/>
        </w:tblCellMar>
      </w:tblPr>
      <w:tblGrid>
        <w:gridCol w:w="493"/>
        <w:gridCol w:w="434"/>
        <w:gridCol w:w="43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93"/>
        <w:gridCol w:w="293"/>
        <w:gridCol w:w="271"/>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93"/>
        <w:gridCol w:w="293"/>
        <w:gridCol w:w="316"/>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3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5,482.9 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722.2 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5,482.9 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4,719.9 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16.6 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 from the Americas, EMEA and APAC increased year-over-year for fiscal 2025 as we continued to increase investment in our global sales force in order to support our growth and innovation, with the Americas contributing the highest increase in revenue due to its larger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COST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cost of revenue consists of cost of product revenue and cost of subscription and support revenue.</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inventory excess and obsolete charges, shipping and tariff costs, amortization of intellectual property licenses, product testing costs, and shared costs. Shared costs consist of certain facilities, depreciation, benefits, recruiting, and information technology costs that we allocate based on headcount. We expect our cost of product revenue to fluctuate with our revenue from hardware products.</w:t>
      </w:r>
    </w:p>
    <w:tbl>
      <w:tblPr>
        <w:tblW w:w="10940" w:type="dxa"/>
        <w:jc w:val="left"/>
        <w:tblInd w:w="0" w:type="dxa"/>
        <w:tblLayout w:type="fixed"/>
        <w:tblCellMar>
          <w:top w:w="28" w:type="dxa"/>
          <w:left w:w="28" w:type="dxa"/>
          <w:bottom w:w="28" w:type="dxa"/>
          <w:right w:w="28" w:type="dxa"/>
        </w:tblCellMar>
      </w:tblPr>
      <w:tblGrid>
        <w:gridCol w:w="310"/>
        <w:gridCol w:w="272"/>
        <w:gridCol w:w="274"/>
        <w:gridCol w:w="226"/>
        <w:gridCol w:w="706"/>
        <w:gridCol w:w="109"/>
        <w:gridCol w:w="109"/>
        <w:gridCol w:w="109"/>
        <w:gridCol w:w="109"/>
        <w:gridCol w:w="226"/>
        <w:gridCol w:w="706"/>
        <w:gridCol w:w="109"/>
        <w:gridCol w:w="109"/>
        <w:gridCol w:w="109"/>
        <w:gridCol w:w="109"/>
        <w:gridCol w:w="226"/>
        <w:gridCol w:w="586"/>
        <w:gridCol w:w="109"/>
        <w:gridCol w:w="109"/>
        <w:gridCol w:w="109"/>
        <w:gridCol w:w="109"/>
        <w:gridCol w:w="293"/>
        <w:gridCol w:w="293"/>
        <w:gridCol w:w="271"/>
        <w:gridCol w:w="109"/>
        <w:gridCol w:w="109"/>
        <w:gridCol w:w="109"/>
        <w:gridCol w:w="226"/>
        <w:gridCol w:w="706"/>
        <w:gridCol w:w="109"/>
        <w:gridCol w:w="109"/>
        <w:gridCol w:w="109"/>
        <w:gridCol w:w="109"/>
        <w:gridCol w:w="226"/>
        <w:gridCol w:w="706"/>
        <w:gridCol w:w="109"/>
        <w:gridCol w:w="109"/>
        <w:gridCol w:w="109"/>
        <w:gridCol w:w="109"/>
        <w:gridCol w:w="226"/>
        <w:gridCol w:w="601"/>
        <w:gridCol w:w="109"/>
        <w:gridCol w:w="109"/>
        <w:gridCol w:w="109"/>
        <w:gridCol w:w="109"/>
        <w:gridCol w:w="300"/>
        <w:gridCol w:w="301"/>
        <w:gridCol w:w="316"/>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08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5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product revenue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0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(70.1)</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increased for fiscal 2025 compared to fiscal 2024 primarily due to an increase in inventory excess and obsolete charges and an increased demand for our new generation hardware products and accessories, partially offset by a decreased demand for our prior generation of hardware products.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includes personnel costs for our global customer support and technical operations organizations, data center and cloud hosting service costs, third-party professional services costs, amortization of acquired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 </w:t>
      </w:r>
    </w:p>
    <w:tbl>
      <w:tblPr>
        <w:tblW w:w="12245" w:type="dxa"/>
        <w:jc w:val="left"/>
        <w:tblInd w:w="0" w:type="dxa"/>
        <w:tblLayout w:type="fixed"/>
        <w:tblCellMar>
          <w:top w:w="28" w:type="dxa"/>
          <w:left w:w="28" w:type="dxa"/>
          <w:bottom w:w="28" w:type="dxa"/>
          <w:right w:w="28" w:type="dxa"/>
        </w:tblCellMar>
      </w:tblPr>
      <w:tblGrid>
        <w:gridCol w:w="446"/>
        <w:gridCol w:w="392"/>
        <w:gridCol w:w="393"/>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271"/>
        <w:gridCol w:w="109"/>
        <w:gridCol w:w="109"/>
        <w:gridCol w:w="109"/>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01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3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1,491.4 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94310"/>
                <wp:effectExtent l="0" t="0" r="0" b="0"/>
                <wp:wrapNone/>
                <wp:docPr id="49" name="Frame4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increased for fiscal 2025 compared to fiscal 2024 primarily due to increased costs to support the growth of our subscription and support offerings. Cloud hosting service costs, which support our cloud-based subscription offerings, increased $189.5 million for fiscal 2025 compared to fiscal 2024. Personnel costs grew $52.9 million for fiscal 2025 compared to fiscal 2024, primarily due to headcount growth. The increase in cost of subscription and support revenue was further driven by increased professional services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GROSS MARGIN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Gross margin has been and will continue to be affected by a variety of factors, including the introduction of new products, manufacturing costs, the average sales price of our products, cloud hosting service costs, personnel costs, the mix of products sold, and the mix of revenue between product and subscription and support offerings. Our higher-end firewall products generally have higher gross margins than our lower-end firewall products within each product series. We expect our gross margins to vary over time depending on the factors described above.</w:t>
      </w:r>
    </w:p>
    <w:tbl>
      <w:tblPr>
        <w:tblW w:w="10205" w:type="dxa"/>
        <w:jc w:val="left"/>
        <w:tblInd w:w="0" w:type="dxa"/>
        <w:tblLayout w:type="fixed"/>
        <w:tblCellMar>
          <w:top w:w="28" w:type="dxa"/>
          <w:left w:w="28" w:type="dxa"/>
          <w:bottom w:w="28" w:type="dxa"/>
          <w:right w:w="28" w:type="dxa"/>
        </w:tblCellMar>
      </w:tblPr>
      <w:tblGrid>
        <w:gridCol w:w="566"/>
        <w:gridCol w:w="498"/>
        <w:gridCol w:w="502"/>
        <w:gridCol w:w="226"/>
        <w:gridCol w:w="886"/>
        <w:gridCol w:w="109"/>
        <w:gridCol w:w="109"/>
        <w:gridCol w:w="109"/>
        <w:gridCol w:w="109"/>
        <w:gridCol w:w="300"/>
        <w:gridCol w:w="289"/>
        <w:gridCol w:w="504"/>
        <w:gridCol w:w="109"/>
        <w:gridCol w:w="109"/>
        <w:gridCol w:w="109"/>
        <w:gridCol w:w="226"/>
        <w:gridCol w:w="886"/>
        <w:gridCol w:w="109"/>
        <w:gridCol w:w="109"/>
        <w:gridCol w:w="109"/>
        <w:gridCol w:w="109"/>
        <w:gridCol w:w="300"/>
        <w:gridCol w:w="289"/>
        <w:gridCol w:w="504"/>
        <w:gridCol w:w="109"/>
        <w:gridCol w:w="109"/>
        <w:gridCol w:w="109"/>
        <w:gridCol w:w="226"/>
        <w:gridCol w:w="886"/>
        <w:gridCol w:w="109"/>
        <w:gridCol w:w="109"/>
        <w:gridCol w:w="109"/>
        <w:gridCol w:w="109"/>
        <w:gridCol w:w="293"/>
        <w:gridCol w:w="293"/>
        <w:gridCol w:w="569"/>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2023</w:t>
            </w:r>
          </w:p>
        </w:tc>
      </w:tr>
      <w:tr>
        <w:trPr/>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63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56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1,388.7 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77.1 </w:t>
            </w:r>
          </w:p>
        </w:tc>
        <w:tc>
          <w:tcPr>
            <w:tcW w:w="50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78.3 </w:t>
            </w:r>
          </w:p>
        </w:tc>
        <w:tc>
          <w:tcPr>
            <w:tcW w:w="50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1,160.1 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73.5 </w:t>
            </w:r>
          </w:p>
        </w:tc>
        <w:tc>
          <w:tcPr>
            <w:tcW w:w="5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72.5 </w:t>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5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71.9 </w:t>
            </w:r>
          </w:p>
        </w:tc>
        <w:tc>
          <w:tcPr>
            <w:tcW w:w="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56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6,769.9 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50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50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4,983.0 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72.3 </w:t>
            </w:r>
          </w:p>
        </w:tc>
        <w:tc>
          <w:tcPr>
            <w:tcW w:w="56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gross margin decreased for fiscal 2025 compared to fiscal 2024 primarily due to unfavorable hardware product mix and an increase in inventory excess and obsolete charges, partially offset by increased software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gross margin decreased for fiscal 2025 compared to fiscal 2024 primarily due to an increase in costs related to our cloud-based offerings, partially offset by increased leverage of our global customer service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EXPENSES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July 31, 2025, we expect to recognize approximately $2.2 billion of share-based compensation expense over a weighted-average period of approximately 2.5 years, excluding additional share-based compensation expense related to any future grants of share-based awards. Share-based compensation expense is generally recognized on a straight-line basis over the requisite service periods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consists primarily of personnel costs. Research and development expense also includes prototype-related expenses and shared costs. We expect research and development expense to increase in absolute dollars as we continue to invest in our future products and services, although our research and development expense may fluctuate as a percentage of total revenue.</w:t>
      </w:r>
    </w:p>
    <w:tbl>
      <w:tblPr>
        <w:tblW w:w="12200" w:type="dxa"/>
        <w:jc w:val="left"/>
        <w:tblInd w:w="0" w:type="dxa"/>
        <w:tblLayout w:type="fixed"/>
        <w:tblCellMar>
          <w:top w:w="28" w:type="dxa"/>
          <w:left w:w="28" w:type="dxa"/>
          <w:bottom w:w="28" w:type="dxa"/>
          <w:right w:w="28" w:type="dxa"/>
        </w:tblCellMar>
      </w:tblPr>
      <w:tblGrid>
        <w:gridCol w:w="473"/>
        <w:gridCol w:w="416"/>
        <w:gridCol w:w="417"/>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33"/>
        <w:gridCol w:w="233"/>
        <w:gridCol w:w="271"/>
        <w:gridCol w:w="109"/>
        <w:gridCol w:w="109"/>
        <w:gridCol w:w="109"/>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316"/>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89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0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1,809.4 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1,809.4 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1,604.0 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increased for fiscal 2025 compared to fiscal 2024 primarily due to increased personnel costs, which grew $123.4 million for fiscal 2025 compared to fiscal 2024, largely due to headcount growth. The increase in research and development expense was further driven by increased shared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94310"/>
                <wp:effectExtent l="0" t="0" r="0" b="0"/>
                <wp:wrapNone/>
                <wp:docPr id="50" name="Frame4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SALES AND MARKETING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consists primarily of personnel costs, including commission expense. Sales and marketing expense also includes costs for market development programs, promotional and other marketing costs, professional services,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tbl>
      <w:tblPr>
        <w:tblW w:w="11945" w:type="dxa"/>
        <w:jc w:val="left"/>
        <w:tblInd w:w="0" w:type="dxa"/>
        <w:tblLayout w:type="fixed"/>
        <w:tblCellMar>
          <w:top w:w="28" w:type="dxa"/>
          <w:left w:w="28" w:type="dxa"/>
          <w:bottom w:w="28" w:type="dxa"/>
          <w:right w:w="28" w:type="dxa"/>
        </w:tblCellMar>
      </w:tblPr>
      <w:tblGrid>
        <w:gridCol w:w="381"/>
        <w:gridCol w:w="334"/>
        <w:gridCol w:w="336"/>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93"/>
        <w:gridCol w:w="293"/>
        <w:gridCol w:w="271"/>
        <w:gridCol w:w="109"/>
        <w:gridCol w:w="109"/>
        <w:gridCol w:w="109"/>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33"/>
        <w:gridCol w:w="233"/>
        <w:gridCol w:w="31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89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5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305.7 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2,544.0 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250.5 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increased for fiscal 2025 compared to fiscal 2024 primarily due to increased personnel costs, which grew $263.6 million for fiscal 2025 compared to fiscal 2024, largely due to headcount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GENERAL AND ADMINISTRATIVE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General and administrative expense also includes change in fair value of contingent consideration liability.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 </w:t>
      </w:r>
    </w:p>
    <w:tbl>
      <w:tblPr>
        <w:tblW w:w="11735" w:type="dxa"/>
        <w:jc w:val="left"/>
        <w:tblInd w:w="0" w:type="dxa"/>
        <w:tblLayout w:type="fixed"/>
        <w:tblCellMar>
          <w:top w:w="28" w:type="dxa"/>
          <w:left w:w="28" w:type="dxa"/>
          <w:bottom w:w="28" w:type="dxa"/>
          <w:right w:w="28" w:type="dxa"/>
        </w:tblCellMar>
      </w:tblPr>
      <w:tblGrid>
        <w:gridCol w:w="511"/>
        <w:gridCol w:w="449"/>
        <w:gridCol w:w="451"/>
        <w:gridCol w:w="226"/>
        <w:gridCol w:w="706"/>
        <w:gridCol w:w="109"/>
        <w:gridCol w:w="109"/>
        <w:gridCol w:w="109"/>
        <w:gridCol w:w="109"/>
        <w:gridCol w:w="226"/>
        <w:gridCol w:w="706"/>
        <w:gridCol w:w="109"/>
        <w:gridCol w:w="109"/>
        <w:gridCol w:w="109"/>
        <w:gridCol w:w="109"/>
        <w:gridCol w:w="226"/>
        <w:gridCol w:w="721"/>
        <w:gridCol w:w="109"/>
        <w:gridCol w:w="109"/>
        <w:gridCol w:w="109"/>
        <w:gridCol w:w="109"/>
        <w:gridCol w:w="300"/>
        <w:gridCol w:w="301"/>
        <w:gridCol w:w="27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93"/>
        <w:gridCol w:w="293"/>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32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(237.8)</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(34.9)</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447.7 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52.0 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expenses decreased for fiscal 2025 compared to fiscal 2024 primarily due to litigation-related charges of $204.4 million in fiscal 2024 and a partial release of litigation-related accrual of $38.8 million in fiscal 2025. We also recorded a gain of $135.3 million in fiscal 2025 for the change in fair value of the contingent consideration liability from our acquisition of certain IBM QRadar assets. The decrease in general and administrative expense was partially offset by increased personnel costs, which grew $153.2 million, largely due to increased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INTEREST EXPENSE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Interest expense primarily consists of interest expense related to our 0.75% Convertible Senior Notes due 2023 (the “2023 Notes”) and our 0.375% Convertible Senior Notes due 2025 (the “2025 Notes,” and together with “2023 Notes,” the “Notes”).</w:t>
      </w:r>
    </w:p>
    <w:tbl>
      <w:tblPr>
        <w:tblW w:w="10205" w:type="dxa"/>
        <w:jc w:val="left"/>
        <w:tblInd w:w="0" w:type="dxa"/>
        <w:tblLayout w:type="fixed"/>
        <w:tblCellMar>
          <w:top w:w="28" w:type="dxa"/>
          <w:left w:w="28" w:type="dxa"/>
          <w:bottom w:w="28" w:type="dxa"/>
          <w:right w:w="28" w:type="dxa"/>
        </w:tblCellMar>
      </w:tblPr>
      <w:tblGrid>
        <w:gridCol w:w="324"/>
        <w:gridCol w:w="285"/>
        <w:gridCol w:w="287"/>
        <w:gridCol w:w="237"/>
        <w:gridCol w:w="489"/>
        <w:gridCol w:w="115"/>
        <w:gridCol w:w="109"/>
        <w:gridCol w:w="109"/>
        <w:gridCol w:w="109"/>
        <w:gridCol w:w="237"/>
        <w:gridCol w:w="489"/>
        <w:gridCol w:w="115"/>
        <w:gridCol w:w="109"/>
        <w:gridCol w:w="109"/>
        <w:gridCol w:w="109"/>
        <w:gridCol w:w="226"/>
        <w:gridCol w:w="507"/>
        <w:gridCol w:w="109"/>
        <w:gridCol w:w="109"/>
        <w:gridCol w:w="109"/>
        <w:gridCol w:w="109"/>
        <w:gridCol w:w="301"/>
        <w:gridCol w:w="302"/>
        <w:gridCol w:w="271"/>
        <w:gridCol w:w="109"/>
        <w:gridCol w:w="109"/>
        <w:gridCol w:w="109"/>
        <w:gridCol w:w="237"/>
        <w:gridCol w:w="489"/>
        <w:gridCol w:w="115"/>
        <w:gridCol w:w="109"/>
        <w:gridCol w:w="109"/>
        <w:gridCol w:w="109"/>
        <w:gridCol w:w="226"/>
        <w:gridCol w:w="586"/>
        <w:gridCol w:w="109"/>
        <w:gridCol w:w="109"/>
        <w:gridCol w:w="109"/>
        <w:gridCol w:w="109"/>
        <w:gridCol w:w="226"/>
        <w:gridCol w:w="603"/>
        <w:gridCol w:w="109"/>
        <w:gridCol w:w="109"/>
        <w:gridCol w:w="109"/>
        <w:gridCol w:w="109"/>
        <w:gridCol w:w="301"/>
        <w:gridCol w:w="302"/>
        <w:gridCol w:w="31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09"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9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(63.9)</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8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8.3 </w:t>
            </w:r>
          </w:p>
        </w:tc>
        <w:tc>
          <w:tcPr>
            <w:tcW w:w="11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0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w:t>
            </w:r>
          </w:p>
        </w:tc>
        <w:tc>
          <w:tcPr>
            <w:tcW w:w="31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Interest expense decreased for fiscal 2025 compared to fiscal 2024 primarily due to conversions of the 2025 Notes prior to or upon maturity in June 2025. Refer to Note 11. Debt in Part II, Item 8 of this Annual Report on Form 10-K for more information on the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94310"/>
                <wp:effectExtent l="0" t="0" r="0" b="0"/>
                <wp:wrapNone/>
                <wp:docPr id="51" name="Frame5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net includes interest income earned on our cash, cash equivalents, and investments, and gains and losses from foreign currency remeasurement and foreign currency transactions.</w:t>
      </w:r>
    </w:p>
    <w:tbl>
      <w:tblPr>
        <w:tblW w:w="11015" w:type="dxa"/>
        <w:jc w:val="left"/>
        <w:tblInd w:w="0" w:type="dxa"/>
        <w:tblLayout w:type="fixed"/>
        <w:tblCellMar>
          <w:top w:w="28" w:type="dxa"/>
          <w:left w:w="28" w:type="dxa"/>
          <w:bottom w:w="28" w:type="dxa"/>
          <w:right w:w="28" w:type="dxa"/>
        </w:tblCellMar>
      </w:tblPr>
      <w:tblGrid>
        <w:gridCol w:w="304"/>
        <w:gridCol w:w="268"/>
        <w:gridCol w:w="269"/>
        <w:gridCol w:w="226"/>
        <w:gridCol w:w="706"/>
        <w:gridCol w:w="109"/>
        <w:gridCol w:w="109"/>
        <w:gridCol w:w="109"/>
        <w:gridCol w:w="109"/>
        <w:gridCol w:w="226"/>
        <w:gridCol w:w="706"/>
        <w:gridCol w:w="109"/>
        <w:gridCol w:w="109"/>
        <w:gridCol w:w="109"/>
        <w:gridCol w:w="109"/>
        <w:gridCol w:w="226"/>
        <w:gridCol w:w="586"/>
        <w:gridCol w:w="109"/>
        <w:gridCol w:w="109"/>
        <w:gridCol w:w="109"/>
        <w:gridCol w:w="109"/>
        <w:gridCol w:w="293"/>
        <w:gridCol w:w="293"/>
        <w:gridCol w:w="27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93"/>
        <w:gridCol w:w="293"/>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1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51.6 </w:t>
            </w:r>
          </w:p>
        </w:tc>
        <w:tc>
          <w:tcPr>
            <w:tcW w:w="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net increased for fiscal 2025 compared to fiscal 2024 primarily due to higher interest income as a result of higher average cash, cash equivalents, and investments balance for fiscal 2025 compared to fiscal 2024. The increase was further driven by increased gains from our non-designated derivative instruments and investments, partially offset by increased foreign currency exchange losses for fiscal 2025 compared to fiscal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PROVISION FOR (BENEFIT FROM)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 for income taxes consists primarily of U.S. and foreign income taxes. We had a benefit from income taxes during fiscal 2024 primarily due to the release of our valuation allowance on U.S. federal, U.S. states other than California, and U.K. deferred tax assets. We continue to maintain a valuation allowance for California and certain deferred tax assets.</w:t>
      </w:r>
    </w:p>
    <w:tbl>
      <w:tblPr>
        <w:tblW w:w="11563" w:type="dxa"/>
        <w:jc w:val="left"/>
        <w:tblInd w:w="0" w:type="dxa"/>
        <w:tblLayout w:type="fixed"/>
        <w:tblCellMar>
          <w:top w:w="28" w:type="dxa"/>
          <w:left w:w="28" w:type="dxa"/>
          <w:bottom w:w="28" w:type="dxa"/>
          <w:right w:w="28" w:type="dxa"/>
        </w:tblCellMar>
      </w:tblPr>
      <w:tblGrid>
        <w:gridCol w:w="332"/>
        <w:gridCol w:w="291"/>
        <w:gridCol w:w="293"/>
        <w:gridCol w:w="226"/>
        <w:gridCol w:w="706"/>
        <w:gridCol w:w="271"/>
        <w:gridCol w:w="109"/>
        <w:gridCol w:w="109"/>
        <w:gridCol w:w="109"/>
        <w:gridCol w:w="226"/>
        <w:gridCol w:w="901"/>
        <w:gridCol w:w="271"/>
        <w:gridCol w:w="109"/>
        <w:gridCol w:w="109"/>
        <w:gridCol w:w="109"/>
        <w:gridCol w:w="226"/>
        <w:gridCol w:w="886"/>
        <w:gridCol w:w="109"/>
        <w:gridCol w:w="109"/>
        <w:gridCol w:w="109"/>
        <w:gridCol w:w="109"/>
        <w:gridCol w:w="109"/>
        <w:gridCol w:w="109"/>
        <w:gridCol w:w="109"/>
        <w:gridCol w:w="109"/>
        <w:gridCol w:w="109"/>
        <w:gridCol w:w="109"/>
        <w:gridCol w:w="226"/>
        <w:gridCol w:w="901"/>
        <w:gridCol w:w="271"/>
        <w:gridCol w:w="109"/>
        <w:gridCol w:w="109"/>
        <w:gridCol w:w="109"/>
        <w:gridCol w:w="226"/>
        <w:gridCol w:w="706"/>
        <w:gridCol w:w="271"/>
        <w:gridCol w:w="109"/>
        <w:gridCol w:w="109"/>
        <w:gridCol w:w="109"/>
        <w:gridCol w:w="226"/>
        <w:gridCol w:w="901"/>
        <w:gridCol w:w="109"/>
        <w:gridCol w:w="109"/>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64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1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461.8 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(1,589.3)</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2,051.1 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(1,589.3)</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(1,715.9)</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Montserrat;sans-serif" w:hAnsi="Montserrat;sans-serif"/>
          <w:b w:val="false"/>
          <w:color w:val="000000"/>
          <w:sz w:val="18"/>
        </w:rPr>
      </w:pPr>
      <w:r>
        <w:rPr>
          <w:rFonts w:ascii="Montserrat;sans-serif" w:hAnsi="Montserrat;sans-serif"/>
          <w:b w:val="false"/>
          <w:color w:val="000000"/>
          <w:sz w:val="18"/>
        </w:rPr>
        <w:t>*    Not meaningful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provision for income taxes in fiscal 2025 was $461.8 million, a net change of $2.1 billion compared to a benefit from income taxes of $1.6 billion in fiscal 2024, primarily due to the release of our valuation allowance in fiscal 2024. This is also the primary driver of the change in our effective tax rate for fiscal 2025 compared to fiscal 2024.</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2025, we recorded a deferred tax provision of $218.5 million arising from the remeasurement of our basis differences associated with the U.S. tax effects of foreign deferred tax assets. Our remeasurement is a result of the One Big Beautiful Bill Act ("OBBB") enacted on July 4, 2025 which provides for significant tax law changes and modifications including changes to the U.S. effective tax rates on certain foreign earnings. Refer to Note 16. Income Taxes in Part II, Item 8 of this Annual Report on Form 10-K for more information on OBBB.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94310"/>
                <wp:effectExtent l="0" t="0" r="0" b="0"/>
                <wp:wrapNone/>
                <wp:docPr id="52" name="Frame5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24" w:type="dxa"/>
        <w:jc w:val="left"/>
        <w:tblInd w:w="0" w:type="dxa"/>
        <w:tblLayout w:type="fixed"/>
        <w:tblCellMar>
          <w:top w:w="28" w:type="dxa"/>
          <w:left w:w="28" w:type="dxa"/>
          <w:bottom w:w="28" w:type="dxa"/>
          <w:right w:w="28" w:type="dxa"/>
        </w:tblCellMar>
      </w:tblPr>
      <w:tblGrid>
        <w:gridCol w:w="1595"/>
        <w:gridCol w:w="1402"/>
        <w:gridCol w:w="1413"/>
        <w:gridCol w:w="226"/>
        <w:gridCol w:w="886"/>
        <w:gridCol w:w="109"/>
        <w:gridCol w:w="109"/>
        <w:gridCol w:w="109"/>
        <w:gridCol w:w="109"/>
        <w:gridCol w:w="226"/>
        <w:gridCol w:w="88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441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Working capital (deficit)</w:t>
            </w:r>
            <w:r>
              <w:rPr>
                <w:rFonts w:ascii="Montserrat;sans-serif" w:hAnsi="Montserrat;sans-serif"/>
                <w:b w:val="false"/>
                <w:color w:val="000000"/>
                <w:sz w:val="12"/>
              </w:rPr>
              <w:t>(1)</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(465.2)</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(833.0)</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cash equivalents, and investments: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2,268.6 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1,535.2 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investments</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8,458.8 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6,752.0 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Current liabilities included net carrying amounts of convertible senior notes of $1.0 billion as of July 31, 2024. Refer to Note 11. Debt in Part II, Item 8 of this Annual Report on Form 10-K for information on the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our total cash, cash equivalents, and investments of $8.5 billion were held for general corporate purposes. As of July 31, 2025,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DEBT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June 2020, we issued the 2025 Notes with an aggregate principal amount of $2.0 billion. The 2025 Notes were converted prior to or settled on the maturity date of June 1, 2025. During fiscal 2025, we repaid in cash $965.6 million in aggregate principal amount of the 2025 Notes and issued 14.0 million shares of common stock to the holders for the conversion value in excess of the principal amount of the 2025 Notes converted, which were fully offset by shares we received from our exercise of the associated note hedges.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2023, we entered into a credit agreement (the “Credit Agreement”) that provides for a $400.0 million unsecured revolving credit facility (the “Credit Facility”), with an option to increase the amount of the Credit Facility by up to an additional $350.0 million, subject to certain conditions. The interest rates and commitment fees are also subject to upward and downward adjustments based on our progress towards the achievement of certain sustainability goals. As of July 31, 2025, there were no amounts outstanding, and we were in compliance with all covenants under the Credit Agreement. Refer to Note 11. Debt in Part II, Item 8 of this Annual Report on Form 10-K for more information on the Credit Agreement.</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CAPITAL RETURN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Our board of directors subsequently authorized additional increases to this share repurchase program, bringing the total authorization to $4.1 billion. Repurchases will be funded from available working capital and may be made at management’s discretion from time to time. As of July 31, 2025, $1.0 billion remained available for future share repurchases under this repurchase program. The repurchase authorization will expire on December 31, 2025, and may be suspended or discontinued at any time without prior notice. Refer to Note 14. Stockholders’ Equity in Part II, Item 8 of this Annual Report on Form 10-K for more information on this repurchase program. </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CONTRACTUAL OBLIGATIONS AND OTHER MATERIAL CASH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and data centers, with lease terms expiring through fiscal 2036. As of July 31, 2025, we have total operating lease obligations of $417.4 million recorded on our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our commitments to purchase products, components, cloud hosting and other services totaled $7.1 billion. Refer to Note 13. Commitments and Contingencies in Part II, Item 8 of this Annual Report on Form 10-K for more information on these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acquisition of certain IBM QRadar assets on August 31, 2024 included contingent consideration that requires potential future payments through the fiscal quarter ending October 2028. As of July 31, 2025, we have total contingent consideration obligation of $513.6 million recorded on our consolidated balance sheet. Refer to Note 3. Fair Value Measurements and Note 8. Acquisitions in Part II, Item 8 of this Annual Report on Form 10-K for more information on our contingent consideration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94310"/>
                <wp:effectExtent l="0" t="0" r="0" b="0"/>
                <wp:wrapNone/>
                <wp:docPr id="53" name="Frame5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30, 2025, we entered into a definitive agreement to acquire CyberArk. The acquisition is expected to close during the second half of our fiscal 2026, subject to the satisfaction of customary closing conditions. Under the terms of the definitive agreement, CyberArk shareholders will receive $45.00 in cash and 2.2005 shares of our common stock for each CyberArk share. This represents an equity value for CyberArk of approximately $25 billion based on the unaffected 10-day average daily volume-weighted average trading prices of our common stock as of July 25, 2025. We expect to fund the cash portion of the consideration with our cash on hand. Refer to Part I, Item 1A “Risk Factors” in this Form 10-K and Note 8. Acquisitions in Part II, Item 8 of this Annual Report on Form 10-K for more information on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cash flows for the years ended July 31, 2025, 2024, and 2023:</w:t>
      </w:r>
    </w:p>
    <w:tbl>
      <w:tblPr>
        <w:tblW w:w="10205" w:type="dxa"/>
        <w:jc w:val="left"/>
        <w:tblInd w:w="0" w:type="dxa"/>
        <w:tblLayout w:type="fixed"/>
        <w:tblCellMar>
          <w:top w:w="28" w:type="dxa"/>
          <w:left w:w="28" w:type="dxa"/>
          <w:bottom w:w="28" w:type="dxa"/>
          <w:right w:w="28" w:type="dxa"/>
        </w:tblCellMar>
      </w:tblPr>
      <w:tblGrid>
        <w:gridCol w:w="2134"/>
        <w:gridCol w:w="1847"/>
        <w:gridCol w:w="1860"/>
        <w:gridCol w:w="226"/>
        <w:gridCol w:w="886"/>
        <w:gridCol w:w="109"/>
        <w:gridCol w:w="109"/>
        <w:gridCol w:w="109"/>
        <w:gridCol w:w="109"/>
        <w:gridCol w:w="226"/>
        <w:gridCol w:w="886"/>
        <w:gridCol w:w="109"/>
        <w:gridCol w:w="109"/>
        <w:gridCol w:w="109"/>
        <w:gridCol w:w="109"/>
        <w:gridCol w:w="226"/>
        <w:gridCol w:w="886"/>
        <w:gridCol w:w="156"/>
      </w:tblGrid>
      <w:tr>
        <w:trPr/>
        <w:tc>
          <w:tcPr>
            <w:tcW w:w="2134"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4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841"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8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3,257.6 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2,777.5 </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(778.9)</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(1,726.3)</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(decrease)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(982.6)</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from operations could be affected by various risks and uncertainties detailed in Part I, Item 1A “Risk Factors” in this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continuing market acceptance of our products and subscription and support offerings and macroeconomic events. In addition, from time to time, we may incur additional tax liability in connection with certain corporate structuring decisions.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activities have consisted of net income adjusted for certain non-cash items and changes in assets and liabilities. Our largest source of cash provided by our operations is receipts from our customers. Net cash provided by operating activities can be impacted by factors such as timing of payments and collections, vendor payment terms, and timing and amount of tax payments.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provided by operating activities during fiscal 2025 was $3.7 billion, an increase of $458.4 million compared to fiscal 2024. The increase was primarily due to growth of our business as reflected by increases in collections during fiscal 2025, partially offset by higher cash expenditure to support our business growth.</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INVESTING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investing activities have consisted of capital expenditures, net investment purchases, sales, and maturities, and business acquisitions. We expect to continue such activities as our business grows.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investing activities during fiscal 2025 was $2.2 billion, an increase of $694.8 million compared to fiscal 2024. The increase was primarily due to an increase in net cash payments for business acquisitions and higher purchases of investments during fiscal 2025.</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 xml:space="preserve">FINANCING ACTIVITIES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financing activities have consisted of repayments of our convertible senior notes, cash used to repurchase shares of our common stock, proceeds from sales of shares through employee equity incentive plans, and payments for tax withholding obligations of certain employees related to the net share settlement of equity awards.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used in financing activities during fiscal 2025 was $778.9 million, a decrease of $564.2 million compared to fiscal 2024. The decrease was primarily due to a decrease in cash used to repurchase our common stock which did not recur during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94310"/>
                <wp:effectExtent l="0" t="0" r="0" b="0"/>
                <wp:wrapNone/>
                <wp:docPr id="54" name="Frame5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Critical Accounting Estimates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of our significant accounting policies described in Note 1. Description of Business and Summary of Significant Accounting Policies in Part II, Item 8 of this Annual Report on Form 10-K, the critical accounting estimates, assumptions, and judgments that have the most significant impact on our consolidated financial statements are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 RECOGNITION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 As our business offerings evolve over time, we may be required to modify our estimated standalone selling prices, and as a result the timing and classification of our revenue could be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 Assumptions, judgment, and the use of estimates are required in determining if the more-likely-than-not standard has been met and in determining the expected benefit when developing the provision for income taxes. Our evaluations are based upon a number of factors, including changes in facts or circumstances, changes in tax law or guidance, correspondence with tax authorities during the course of audits, and effective settlement of audit issues. Changes in these or other factors could result in material increases or decreases in our provision for (benefit from) income taxes in the period in which we make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LOSS CONTINGENCIES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94310"/>
                <wp:effectExtent l="0" t="0" r="0" b="0"/>
                <wp:wrapNone/>
                <wp:docPr id="55" name="Frame5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 Refer to the “Litigation” subheading in Note 13. Commitments and Contingencies in Part II, Item 8 of this Annual Report on Form 10-K for more information regarding our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BUSINESS COMBINATIONS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make significant estimates, assumptions, and judgments when valuing assets acquired and liabilities assumed, especially with respect to purchased intangible assets, in connection with the initial purchase price allocation of an acquired business. Critical estimates in valuing certain purchased intangible assets include, but are not limited to, cash flows that an asset is expected to generate in the future, discount rates, the time and expense that would be necessary to recreate the assets, and the profit margin a market participant would receive on such recreated assets. The amounts and useful lives assigned to identified intangible assets impact the amount and timing of future amortization expense.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One of our business combinations has included post-closing payments contingent upon the occurrence of future events and/or certain conditions being met. Critical estimates used in valuing our contingent consideration obligation include, but are not limited to, estimated future cash payments related to customers entering into qualified new transactions and risk-adjusted discount rates used to present value the expected cash flows. These estimates and assumptions are updated to revalue our contingent consideration liability at the end of each reporting period. Accordingly, subsequent changes in underlying facts and circumstances could result in changes in these estimates and assumptions, which could have a material impact on the estimated future fair values of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Recent Accounting Pronouncements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“Recently Adopted Accounting Pronouncement” and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94310"/>
                <wp:effectExtent l="0" t="0" r="0" b="0"/>
                <wp:wrapNone/>
                <wp:docPr id="56" name="Frame5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7A. Quantitative and Qualitative Disclosures About Market Risk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Foreign Currency Exchange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 portion of our operating expenditures are denominated in foreign currencies, making them subject to fluctuations in foreign currency exchange rates. Additionally, fluctuations in foreign currency exchange rates may cause us to recognize transaction gains and losses in our statement of operations. Foreign currency remeasurement gains and losses and foreign currency transaction gains and losses have not had a significant impact to our consolidated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enter into foreign currency derivative contracts with maturities of 24 months or less, which we designate as cash flow hedges, to manage the foreign currency exchange risk associated with our revenue and operating expenditures. We also enter into foreign currency derivative contracts that are not designated as hedging instruments to hedge a portion of our outstanding monetary assets and liabilities denominated in foreign currencies. These foreign currency derivative contracts reduce but do not entirely eliminate the effect of foreign exchange rate fluctuations.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hypothetical 10% change in foreign exchange rates on monetary assets and liabilities would not be material to our financial condition or results of operations after taking into consideration the effect of foreign currency forward contracts in place as of July 31, 2025.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results of operations. Refer to Note 6. Derivative Instruments in Part II, Item 8 of this Annual Report on Form 10-K for more information.</w:t>
      </w:r>
    </w:p>
    <w:p>
      <w:pPr>
        <w:pStyle w:val="TextBody"/>
        <w:bidi w:val="0"/>
        <w:spacing w:lineRule="auto" w:line="288" w:before="120" w:after="120"/>
        <w:jc w:val="left"/>
        <w:rPr/>
      </w:pPr>
      <w:r>
        <w:rPr>
          <w:rFonts w:ascii="Montserrat;sans-serif" w:hAnsi="Montserrat;sans-serif"/>
          <w:b w:val="false"/>
          <w:color w:val="000000"/>
          <w:sz w:val="18"/>
        </w:rPr>
        <w:t xml:space="preserve">As our international operations grow, our risks associated with fluctuations in foreign currency exchange rates will become greater, and we will continue to reassess our approach to managing this risk. In addition, a weakening U.S. dollar can increase the costs of our international expansion and a strengthening U.S. dollar can increase the real cost of our products and services to our end-customers outside of the United States, leading to delays in the purchase of our products and services. For additional information, see the risk factor entitled </w:t>
      </w:r>
      <w:r>
        <w:rPr>
          <w:color w:val="000000"/>
        </w:rPr>
        <w:t>“</w:t>
      </w:r>
      <w:r>
        <w:rPr>
          <w:rFonts w:ascii="Montserrat;sans-serif" w:hAnsi="Montserrat;sans-serif"/>
          <w:b w:val="false"/>
          <w:i/>
          <w:color w:val="000000"/>
          <w:sz w:val="18"/>
        </w:rPr>
        <w:t>We are exposed to fluctuations in foreign currency exchange rates, which could negatively affect our financial condition and operating results.”</w:t>
      </w:r>
      <w:r>
        <w:rPr>
          <w:color w:val="000000"/>
        </w:rPr>
        <w:t xml:space="preserve"> </w:t>
      </w:r>
      <w:r>
        <w:rPr>
          <w:rFonts w:ascii="Montserrat;sans-serif" w:hAnsi="Montserrat;sans-serif"/>
          <w:b w:val="false"/>
          <w:color w:val="000000"/>
          <w:sz w:val="18"/>
        </w:rPr>
        <w:t>in Part 1, Item 1A of this Annual Report on Form 10-K.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Interest Rate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July 31, 2025, a hypothetical 100 basis point increase in interest rates across all maturities would result in a $132.3 million decline in the fair market value of the portfolio. Such losses would only be realized if we sold the investments prior to maturity. Conversely, a hypothetical 100 basis point decrease in interest rates would lead to a $134.7 million increase in the fair market value of the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94310"/>
                <wp:effectExtent l="0" t="0" r="0" b="0"/>
                <wp:wrapNone/>
                <wp:docPr id="57" name="Frame5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8. Financial Statements and Supplementary Data</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Index To Consolidated Financial Statements</w:t>
      </w:r>
    </w:p>
    <w:tbl>
      <w:tblPr>
        <w:tblW w:w="7530" w:type="dxa"/>
        <w:jc w:val="left"/>
        <w:tblInd w:w="0" w:type="dxa"/>
        <w:tblLayout w:type="fixed"/>
        <w:tblCellMar>
          <w:top w:w="28" w:type="dxa"/>
          <w:left w:w="28" w:type="dxa"/>
          <w:bottom w:w="28" w:type="dxa"/>
          <w:right w:w="28" w:type="dxa"/>
        </w:tblCellMar>
      </w:tblPr>
      <w:tblGrid>
        <w:gridCol w:w="2490"/>
        <w:gridCol w:w="2187"/>
        <w:gridCol w:w="2192"/>
        <w:gridCol w:w="193"/>
        <w:gridCol w:w="193"/>
        <w:gridCol w:w="275"/>
      </w:tblGrid>
      <w:tr>
        <w:trPr/>
        <w:tc>
          <w:tcPr>
            <w:tcW w:w="249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93">
              <w:r>
                <w:rPr>
                  <w:rStyle w:val="InternetLink"/>
                  <w:rFonts w:ascii="Montserrat;sans-serif" w:hAnsi="Montserrat;sans-serif"/>
                  <w:b w:val="false"/>
                  <w:color w:val="0000FF"/>
                  <w:sz w:val="18"/>
                  <w:u w:val="single"/>
                </w:rPr>
                <w:t>Reports of Independent Registered Public Accounting Firm</w:t>
              </w:r>
            </w:hyperlink>
            <w:r>
              <w:rPr>
                <w:color w:val="000000"/>
              </w:rPr>
              <w:t xml:space="preserve"> </w:t>
            </w:r>
            <w:r>
              <w:rPr>
                <w:rFonts w:ascii="Montserrat;sans-serif" w:hAnsi="Montserrat;sans-serif"/>
                <w:b w:val="false"/>
                <w:color w:val="000000"/>
                <w:sz w:val="18"/>
              </w:rPr>
              <w:t>(PCAOB ID: 42)</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7c6d02d19ae642d183bd6885f5b5223e_193">
              <w:r>
                <w:rPr>
                  <w:rStyle w:val="InternetLink"/>
                  <w:rFonts w:ascii="Montserrat;sans-serif" w:hAnsi="Montserrat;sans-serif"/>
                  <w:b w:val="false"/>
                  <w:color w:val="0000FF"/>
                  <w:sz w:val="18"/>
                  <w:u w:val="single"/>
                </w:rPr>
                <w:t>58</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199">
              <w:r>
                <w:rPr>
                  <w:rStyle w:val="InternetLink"/>
                  <w:rFonts w:ascii="Montserrat;sans-serif" w:hAnsi="Montserrat;sans-serif"/>
                  <w:b w:val="false"/>
                  <w:color w:val="0000FF"/>
                  <w:sz w:val="18"/>
                  <w:u w:val="single"/>
                </w:rPr>
                <w:t>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199">
              <w:r>
                <w:rPr>
                  <w:rStyle w:val="InternetLink"/>
                  <w:rFonts w:ascii="Montserrat;sans-serif" w:hAnsi="Montserrat;sans-serif"/>
                  <w:b w:val="false"/>
                  <w:color w:val="0000FF"/>
                  <w:sz w:val="18"/>
                  <w:u w:val="single"/>
                </w:rPr>
                <w:t>61</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202">
              <w:r>
                <w:rPr>
                  <w:rStyle w:val="InternetLink"/>
                  <w:rFonts w:ascii="Montserrat;sans-serif" w:hAnsi="Montserrat;sans-serif"/>
                  <w:b w:val="false"/>
                  <w:color w:val="0000FF"/>
                  <w:sz w:val="18"/>
                  <w:u w:val="single"/>
                </w:rPr>
                <w:t>Consolidated Statements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202">
              <w:r>
                <w:rPr>
                  <w:rStyle w:val="InternetLink"/>
                  <w:rFonts w:ascii="Montserrat;sans-serif" w:hAnsi="Montserrat;sans-serif"/>
                  <w:b w:val="false"/>
                  <w:color w:val="0000FF"/>
                  <w:sz w:val="18"/>
                  <w:u w:val="single"/>
                </w:rPr>
                <w:t>62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205">
              <w:r>
                <w:rPr>
                  <w:rStyle w:val="InternetLink"/>
                  <w:rFonts w:ascii="Montserrat;sans-serif" w:hAnsi="Montserrat;sans-serif"/>
                  <w:b w:val="false"/>
                  <w:color w:val="0000FF"/>
                  <w:sz w:val="18"/>
                  <w:u w:val="single"/>
                </w:rPr>
                <w:t>Consolidated Statements of Comprehensive Income</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205">
              <w:r>
                <w:rPr>
                  <w:rStyle w:val="InternetLink"/>
                  <w:rFonts w:ascii="Montserrat;sans-serif" w:hAnsi="Montserrat;sans-serif"/>
                  <w:b w:val="false"/>
                  <w:color w:val="0000FF"/>
                  <w:sz w:val="18"/>
                  <w:u w:val="single"/>
                </w:rPr>
                <w:t>63</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217">
              <w:r>
                <w:rPr>
                  <w:rStyle w:val="InternetLink"/>
                  <w:rFonts w:ascii="Montserrat;sans-serif" w:hAnsi="Montserrat;sans-serif"/>
                  <w:b w:val="false"/>
                  <w:color w:val="0000FF"/>
                  <w:sz w:val="18"/>
                  <w:u w:val="single"/>
                </w:rPr>
                <w:t>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217">
              <w:r>
                <w:rPr>
                  <w:rStyle w:val="InternetLink"/>
                  <w:rFonts w:ascii="Montserrat;sans-serif" w:hAnsi="Montserrat;sans-serif"/>
                  <w:b w:val="false"/>
                  <w:color w:val="0000FF"/>
                  <w:sz w:val="18"/>
                  <w:u w:val="single"/>
                </w:rPr>
                <w:t>64</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220">
              <w:r>
                <w:rPr>
                  <w:rStyle w:val="InternetLink"/>
                  <w:rFonts w:ascii="Montserrat;sans-serif" w:hAnsi="Montserrat;sans-serif"/>
                  <w:b w:val="false"/>
                  <w:color w:val="0000FF"/>
                  <w:sz w:val="18"/>
                  <w:u w:val="single"/>
                </w:rPr>
                <w:t>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6d02d19ae642d183bd6885f5b5223e_220">
              <w:r>
                <w:rPr>
                  <w:rStyle w:val="InternetLink"/>
                  <w:rFonts w:ascii="Montserrat;sans-serif" w:hAnsi="Montserrat;sans-serif"/>
                  <w:b w:val="false"/>
                  <w:color w:val="0000FF"/>
                  <w:sz w:val="18"/>
                  <w:u w:val="single"/>
                </w:rPr>
                <w:t>65</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223">
              <w:r>
                <w:rPr>
                  <w:rStyle w:val="InternetLink"/>
                  <w:rFonts w:ascii="Montserrat;sans-serif" w:hAnsi="Montserrat;sans-serif"/>
                  <w:b w:val="false"/>
                  <w:color w:val="0000FF"/>
                  <w:sz w:val="18"/>
                  <w:u w:val="single"/>
                </w:rPr>
                <w:t>Notes to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120"/>
              <w:jc w:val="center"/>
              <w:rPr/>
            </w:pPr>
            <w:hyperlink w:anchor="i7c6d02d19ae642d183bd6885f5b5223e_223">
              <w:r>
                <w:rPr>
                  <w:rStyle w:val="InternetLink"/>
                  <w:rFonts w:ascii="Montserrat;sans-serif" w:hAnsi="Montserrat;sans-serif"/>
                  <w:b w:val="false"/>
                  <w:color w:val="0000FF"/>
                  <w:sz w:val="18"/>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94310"/>
                <wp:effectExtent l="0" t="0" r="0" b="0"/>
                <wp:wrapNone/>
                <wp:docPr id="58" name="Frame5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Report of Independent Registered Public Accounting Firm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the Stockholders and the Board of Directors of Palo Alto Networks, Inc.</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Opinion on the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audited the accompanying consolidated balance sheets of Palo Alto Networks, Inc. (the Company) as of July 31, 2025 and 2024, the related consolidated statements of operations, comprehensive income, stockholders’ equity and cash flows for each of the three years in the period ended July 31, 2025, and the related notes (collectively referred to as the “consolidated financial statements”). In our opinion, the consolidated financial statements present fairly, in all material respects, the financial position of the Company at July 31, 2025 and 2024, and the results of its operations and its cash flows for each of the three years in the period ended July 31, 2025, in conformity with U.S. generally accepted accounting principles.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have audited, in accordance with the standards of the Public Company Accounting Oversight Board (United States) (PCAOB), the Company’s internal control over financial reporting as of July 31, 2025, based on criteria established in Internal Control—Integrated Framework issued by the Committee of Sponsoring Organizations of the Treadway Commission (2013 framework), and our report dated August 29, 2025 expressed an unqualified opinion thereon.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Basis for Opinion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Critical Audit Matter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94310"/>
                <wp:effectExtent l="0" t="0" r="0" b="0"/>
                <wp:wrapNone/>
                <wp:docPr id="59" name="Frame5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 RECOGNITION</w:t>
      </w:r>
    </w:p>
    <w:tbl>
      <w:tblPr>
        <w:tblW w:w="10205" w:type="dxa"/>
        <w:jc w:val="left"/>
        <w:tblInd w:w="0" w:type="dxa"/>
        <w:tblLayout w:type="fixed"/>
        <w:tblCellMar>
          <w:top w:w="28" w:type="dxa"/>
          <w:left w:w="28" w:type="dxa"/>
          <w:bottom w:w="28" w:type="dxa"/>
          <w:right w:w="28" w:type="dxa"/>
        </w:tblCellMar>
      </w:tblPr>
      <w:tblGrid>
        <w:gridCol w:w="461"/>
        <w:gridCol w:w="405"/>
        <w:gridCol w:w="407"/>
        <w:gridCol w:w="2713"/>
        <w:gridCol w:w="2569"/>
        <w:gridCol w:w="3650"/>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Description</w:t>
            </w:r>
            <w:r>
              <w:rPr>
                <w:rFonts w:ascii="Montserrat;sans-serif" w:hAnsi="Montserrat;sans-serif"/>
                <w:b w:val="false"/>
                <w:color w:val="000000"/>
                <w:sz w:val="18"/>
              </w:rPr>
              <w:br/>
            </w:r>
            <w:r>
              <w:rPr>
                <w:rFonts w:ascii="Montserrat Medium;sans-serif" w:hAnsi="Montserrat Medium;sans-serif"/>
                <w:b w:val="false"/>
                <w:i/>
                <w:color w:val="000000"/>
                <w:sz w:val="18"/>
              </w:rPr>
              <w:t>of the Matter</w:t>
            </w:r>
          </w:p>
        </w:tc>
        <w:tc>
          <w:tcPr>
            <w:tcW w:w="89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described in Note 1 to the consolidated financial statements, the Company’s contracts with customers sometimes contain multiple performance obligations, which are accounted for separately if they are distinct. In such cases, the transaction price is then allocated to the distinct performance obligations on a relative standalone selling price basis, and revenue is recognized when control of the distinct performance obligation is transferred. For example, product revenue is recognized at the time of hardware shipment or delivery of software license, and subscription and support revenue is recognized over time as the services are performed.</w:t>
            </w:r>
          </w:p>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Auditing the Company’s revenue recognition was complex, including the identification and determination of distinct performance obligations and the timing of revenue recognition. For example, there were certain customer arrangements with nonstandard terms and conditions that required judgment to determine the distinct performance obligations and the impact on the timing of revenue recognition.</w:t>
            </w:r>
          </w:p>
        </w:tc>
      </w:tr>
      <w:tr>
        <w:trPr/>
        <w:tc>
          <w:tcPr>
            <w:tcW w:w="127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How We Addressed</w:t>
            </w:r>
            <w:r>
              <w:rPr>
                <w:rFonts w:ascii="Montserrat;sans-serif" w:hAnsi="Montserrat;sans-serif"/>
                <w:b w:val="false"/>
                <w:color w:val="000000"/>
                <w:sz w:val="18"/>
              </w:rPr>
              <w:br/>
            </w:r>
            <w:r>
              <w:rPr>
                <w:rFonts w:ascii="Montserrat Medium;sans-serif" w:hAnsi="Montserrat Medium;sans-serif"/>
                <w:b w:val="false"/>
                <w:i/>
                <w:color w:val="000000"/>
                <w:sz w:val="18"/>
              </w:rPr>
              <w:t>the Matter in Our Audit</w:t>
            </w:r>
          </w:p>
        </w:tc>
        <w:tc>
          <w:tcPr>
            <w:tcW w:w="8932"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obtained an understanding, evaluated the design and tested the operating effectiveness of the Company’s process and controls to identify and determine the distinct performance obligations and the timing of revenue recognition.</w:t>
            </w:r>
          </w:p>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test the identification and determination of the distinct performance obligations and the timing of revenue recognition, our audit procedures included, among others, reading the executed contract and other contractual documents to understand the contract, identifying the performance obligation(s), determining the distinct performance obligations, and evaluating the timing of revenue recognition for a sample of individual sales transactions. We evaluated the accuracy of the Company’s contract summary documentation, specifically related to the identification and determination of distinct performance obligations and the timing of revenue recognition.</w:t>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VALUATION OF CONTINGENT CONSIDERATION LIABILITY IN CONNECTION WITH THE ACQUISITION OF IBM QRADAR ASSETS</w:t>
      </w:r>
    </w:p>
    <w:tbl>
      <w:tblPr>
        <w:tblW w:w="10205" w:type="dxa"/>
        <w:jc w:val="left"/>
        <w:tblInd w:w="0" w:type="dxa"/>
        <w:tblLayout w:type="fixed"/>
        <w:tblCellMar>
          <w:top w:w="28" w:type="dxa"/>
          <w:left w:w="28" w:type="dxa"/>
          <w:bottom w:w="28" w:type="dxa"/>
          <w:right w:w="28" w:type="dxa"/>
        </w:tblCellMar>
      </w:tblPr>
      <w:tblGrid>
        <w:gridCol w:w="458"/>
        <w:gridCol w:w="403"/>
        <w:gridCol w:w="405"/>
        <w:gridCol w:w="2615"/>
        <w:gridCol w:w="2615"/>
        <w:gridCol w:w="3709"/>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Description</w:t>
            </w:r>
            <w:r>
              <w:rPr>
                <w:rFonts w:ascii="Montserrat;sans-serif" w:hAnsi="Montserrat;sans-serif"/>
                <w:b w:val="false"/>
                <w:color w:val="000000"/>
                <w:sz w:val="18"/>
              </w:rPr>
              <w:br/>
            </w:r>
            <w:r>
              <w:rPr>
                <w:rFonts w:ascii="Montserrat Medium;sans-serif" w:hAnsi="Montserrat Medium;sans-serif"/>
                <w:b w:val="false"/>
                <w:i/>
                <w:color w:val="000000"/>
                <w:sz w:val="18"/>
              </w:rPr>
              <w:t>of the Matter</w:t>
            </w:r>
          </w:p>
        </w:tc>
        <w:tc>
          <w:tcPr>
            <w:tcW w:w="89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described in Note 8 to the consolidated financial statements, the Company completed the acquisition of certain IBM QRadar assets on August 31, 2024, for which the purchase consideration included contingent consideration. The Company has determined the fair value of contingent consideration liability to be $513.6 million as of July 31, 2025, using a discounted cash flow valuation technique including an estimate of future cash payments related to customers entering into qualified new transactions with the Company as well as a risk-adjusted discount rate used to present value the expected cash flows.</w:t>
            </w:r>
          </w:p>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Auditing the Company’s accounting for contingent consideration liability was complex due to estimation uncertainty in the Company’s determination of the fair value due to the significant assumption about customer transactions that will qualify for cash payments under the arrangement. The significant assumption is forward-looking, dependent upon customer behavior, and could be affected by various factors including future economic and market conditions. </w:t>
            </w:r>
          </w:p>
        </w:tc>
      </w:tr>
      <w:tr>
        <w:trPr/>
        <w:tc>
          <w:tcPr>
            <w:tcW w:w="126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How We Addressed</w:t>
            </w:r>
            <w:r>
              <w:rPr>
                <w:rFonts w:ascii="Montserrat;sans-serif" w:hAnsi="Montserrat;sans-serif"/>
                <w:b w:val="false"/>
                <w:color w:val="000000"/>
                <w:sz w:val="18"/>
              </w:rPr>
              <w:br/>
            </w:r>
            <w:r>
              <w:rPr>
                <w:rFonts w:ascii="Montserrat Medium;sans-serif" w:hAnsi="Montserrat Medium;sans-serif"/>
                <w:b w:val="false"/>
                <w:i/>
                <w:color w:val="000000"/>
                <w:sz w:val="18"/>
              </w:rPr>
              <w:t>the Matter in Our Audit</w:t>
            </w:r>
          </w:p>
        </w:tc>
        <w:tc>
          <w:tcPr>
            <w:tcW w:w="8939"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obtained an understanding, evaluated the design and tested the operating effectiveness of the Company’s process and controls to estimate fair value of the contingent consideration liability. We also tested controls regarding management’s review of assumptions used in the valuation model. </w:t>
            </w:r>
          </w:p>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test the estimated fair value of this contingent consideration liability, our audit procedures included, among others, assessing the valuation methodology with the assistance of a valuation specialist, and testing the significant assumption about customer transactions that will qualify for cash payments under the arrangement and the completeness and accuracy of the underlying data used by the Company. We also performed a sensitivity analysis to evaluate the changes in the fair value of this contingent consideration liability that would result from changes in the significant assumption. We also considered whether the assumption was consistent with evidence obtained in other areas of the audit.</w:t>
            </w:r>
          </w:p>
        </w:tc>
      </w:tr>
      <w:tr>
        <w:trPr/>
        <w:tc>
          <w:tcPr>
            <w:tcW w:w="1266"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r>
      <w:tr>
        <w:trPr/>
        <w:tc>
          <w:tcPr>
            <w:tcW w:w="1266"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r>
      <w:tr>
        <w:trPr/>
        <w:tc>
          <w:tcPr>
            <w:tcW w:w="1266" w:type="dxa"/>
            <w:gridSpan w:val="3"/>
            <w:tcBorders/>
            <w:vAlign w:val="center"/>
          </w:tcPr>
          <w:p>
            <w:pPr>
              <w:pStyle w:val="TableContents"/>
              <w:bidi w:val="0"/>
              <w:spacing w:before="0" w:after="283"/>
              <w:jc w:val="left"/>
              <w:rPr>
                <w:sz w:val="4"/>
                <w:szCs w:val="4"/>
              </w:rPr>
            </w:pPr>
            <w:r>
              <w:rPr>
                <w:sz w:val="4"/>
                <w:szCs w:val="4"/>
              </w:rPr>
            </w:r>
          </w:p>
        </w:tc>
        <w:tc>
          <w:tcPr>
            <w:tcW w:w="89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 Ernst &amp; Young LLP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served as the Company’s auditor since 2009.</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San Mateo,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94310"/>
                <wp:effectExtent l="0" t="0" r="0" b="0"/>
                <wp:wrapNone/>
                <wp:docPr id="60" name="Frame5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Report of Independent Registered Public Accounting Firm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the Stockholders and the Board of Directors of Palo Alto Networks, Inc.</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Opinion on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audited Palo Alto Networks, Inc.’s internal control over financial reporting as of July 31, 2025, based on criteria established in Internal Control—Integrated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2025, based on the COSO criteria.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have audited, in accordance with the standards of the Public Company Accounting Oversight Board (United States) (PCAOB), the consolidated balance sheets of the Company as of July 31, 2025 and 2024, the related consolidated statements of operations, comprehensive income, stockholders’ equity and cash flows for each of the three years in the period ended July 31, 2025, and the related notes and our report dated August 29, 2025 expressed an unqualified opinion thereon.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Basis for Opinion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Definition and Limitations of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 Ernst &amp; Young LLP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San Mateo,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August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94310"/>
                <wp:effectExtent l="0" t="0" r="0" b="0"/>
                <wp:wrapNone/>
                <wp:docPr id="61" name="Frame6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283"/>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798"/>
        <w:gridCol w:w="2186"/>
        <w:gridCol w:w="2154"/>
        <w:gridCol w:w="226"/>
        <w:gridCol w:w="1009"/>
        <w:gridCol w:w="109"/>
        <w:gridCol w:w="109"/>
        <w:gridCol w:w="109"/>
        <w:gridCol w:w="109"/>
        <w:gridCol w:w="226"/>
        <w:gridCol w:w="1009"/>
        <w:gridCol w:w="161"/>
      </w:tblGrid>
      <w:tr>
        <w:trPr/>
        <w:tc>
          <w:tcPr>
            <w:tcW w:w="2798"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CONSOLIDATED BALANCE SHEETS</w:t>
              <w:br/>
              <w:t>(In millions, except per share data)</w:t>
            </w:r>
          </w:p>
        </w:tc>
      </w:tr>
      <w:tr>
        <w:trPr/>
        <w:tc>
          <w:tcPr>
            <w:tcW w:w="7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71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713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34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assets: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2,268.6 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1,535.2 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 of $9.7 and $7.5 as of July 31, 2025 and July 31, 2024, respectively</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2,965.0 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2,618.6 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deferred contract costs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419.5 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369.0 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7,522.8 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6,849.7 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Property and equipment,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385.9 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4,173.2 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1,182.1 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contract costs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4,566.6 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3,350.1 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2,399.0 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19,990.9 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liabilities:</w:t>
            </w:r>
          </w:p>
        </w:tc>
        <w:tc>
          <w:tcPr>
            <w:tcW w:w="13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607.6 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554.7 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5,541.1 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 net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7,988.0 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7,682.7 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revenue</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387.7 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886.8 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430.9 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2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15,751.8 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14,821.2 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Commitments and contingencies (Note 13)</w:t>
            </w:r>
          </w:p>
        </w:tc>
        <w:tc>
          <w:tcPr>
            <w:tcW w:w="134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Stockholders’ equity:</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Preferred stock; $0.0001 par value; 100.0 shares authorized; none issued and outstanding as of July 31, 2025 and July 31, 2024 </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and additional paid-in capital; $0.0001 par value; 2,000.0 shares authorized; 667.9 and 650.2 shares issued and outstanding as of July 31, 2025 and July 31, 2024, respectively</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income (loss)</w:t>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5,169.7 </w:t>
            </w:r>
          </w:p>
        </w:tc>
        <w:tc>
          <w:tcPr>
            <w:tcW w:w="16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19,990.9 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94310"/>
                <wp:effectExtent l="0" t="0" r="0" b="0"/>
                <wp:wrapNone/>
                <wp:docPr id="62" name="Frame6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173"/>
        <w:gridCol w:w="1827"/>
        <w:gridCol w:w="1842"/>
        <w:gridCol w:w="226"/>
        <w:gridCol w:w="886"/>
        <w:gridCol w:w="109"/>
        <w:gridCol w:w="109"/>
        <w:gridCol w:w="109"/>
        <w:gridCol w:w="109"/>
        <w:gridCol w:w="226"/>
        <w:gridCol w:w="886"/>
        <w:gridCol w:w="109"/>
        <w:gridCol w:w="109"/>
        <w:gridCol w:w="109"/>
        <w:gridCol w:w="109"/>
        <w:gridCol w:w="226"/>
        <w:gridCol w:w="886"/>
        <w:gridCol w:w="155"/>
      </w:tblGrid>
      <w:tr>
        <w:trPr/>
        <w:tc>
          <w:tcPr>
            <w:tcW w:w="2173"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OPERATIONS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 xml:space="preserve">(In millions, except per share data) </w:t>
            </w:r>
          </w:p>
        </w:tc>
      </w:tr>
      <w:tr>
        <w:trPr/>
        <w:tc>
          <w:tcPr>
            <w:tcW w:w="5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8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584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5,314.3 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1,491.4 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cost of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6,769.9 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4,983.0 </w:t>
            </w:r>
          </w:p>
        </w:tc>
        <w:tc>
          <w:tcPr>
            <w:tcW w:w="15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1,809.4 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1,604.0 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447.7 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4,595.7 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1,242.9 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683.9 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387.3 </w:t>
            </w:r>
          </w:p>
        </w:tc>
        <w:tc>
          <w:tcPr>
            <w:tcW w:w="15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net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206.2 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461.8 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(1,589.3)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4.04 </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0.73 </w:t>
            </w:r>
          </w:p>
        </w:tc>
        <w:tc>
          <w:tcPr>
            <w:tcW w:w="155"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0.64 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1112"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662.5 </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638.5 </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606.4</w:t>
            </w:r>
          </w:p>
        </w:tc>
      </w:tr>
      <w:tr>
        <w:trPr/>
        <w:tc>
          <w:tcPr>
            <w:tcW w:w="58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684.5</w:t>
            </w:r>
          </w:p>
        </w:tc>
      </w:tr>
      <w:tr>
        <w:trPr/>
        <w:tc>
          <w:tcPr>
            <w:tcW w:w="5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94310"/>
                <wp:effectExtent l="0" t="0" r="0" b="0"/>
                <wp:wrapNone/>
                <wp:docPr id="63" name="Frame6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065" w:type="dxa"/>
        <w:jc w:val="left"/>
        <w:tblInd w:w="0" w:type="dxa"/>
        <w:tblLayout w:type="fixed"/>
        <w:tblCellMar>
          <w:top w:w="28" w:type="dxa"/>
          <w:left w:w="28" w:type="dxa"/>
          <w:bottom w:w="28" w:type="dxa"/>
          <w:right w:w="28" w:type="dxa"/>
        </w:tblCellMar>
      </w:tblPr>
      <w:tblGrid>
        <w:gridCol w:w="1725"/>
        <w:gridCol w:w="1513"/>
        <w:gridCol w:w="1532"/>
        <w:gridCol w:w="286"/>
        <w:gridCol w:w="1122"/>
        <w:gridCol w:w="138"/>
        <w:gridCol w:w="138"/>
        <w:gridCol w:w="138"/>
        <w:gridCol w:w="138"/>
        <w:gridCol w:w="286"/>
        <w:gridCol w:w="1122"/>
        <w:gridCol w:w="138"/>
        <w:gridCol w:w="138"/>
        <w:gridCol w:w="138"/>
        <w:gridCol w:w="138"/>
        <w:gridCol w:w="286"/>
        <w:gridCol w:w="894"/>
        <w:gridCol w:w="195"/>
      </w:tblGrid>
      <w:tr>
        <w:trPr/>
        <w:tc>
          <w:tcPr>
            <w:tcW w:w="172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6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COMPREHENSIVE INCOME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477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9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 net of tax:</w:t>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 on investments</w:t>
            </w:r>
          </w:p>
        </w:tc>
        <w:tc>
          <w:tcPr>
            <w:tcW w:w="140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48.2 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w:t>
            </w:r>
          </w:p>
        </w:tc>
        <w:tc>
          <w:tcPr>
            <w:tcW w:w="19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hedges:</w:t>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w:t>
            </w:r>
          </w:p>
        </w:tc>
        <w:tc>
          <w:tcPr>
            <w:tcW w:w="140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w:t>
            </w:r>
          </w:p>
        </w:tc>
        <w:tc>
          <w:tcPr>
            <w:tcW w:w="19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realized (gains) losses reclassified into earnings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change on cash flow hedges</w:t>
            </w:r>
          </w:p>
        </w:tc>
        <w:tc>
          <w:tcPr>
            <w:tcW w:w="140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31.5 </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25.4 </w:t>
            </w:r>
          </w:p>
        </w:tc>
        <w:tc>
          <w:tcPr>
            <w:tcW w:w="195"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Comprehensive income</w:t>
            </w:r>
          </w:p>
        </w:tc>
        <w:tc>
          <w:tcPr>
            <w:tcW w:w="2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2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1,183.9 </w:t>
            </w:r>
          </w:p>
        </w:tc>
        <w:tc>
          <w:tcPr>
            <w:tcW w:w="13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2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2,619.2 </w:t>
            </w:r>
          </w:p>
        </w:tc>
        <w:tc>
          <w:tcPr>
            <w:tcW w:w="13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452.1 </w:t>
            </w:r>
          </w:p>
        </w:tc>
        <w:tc>
          <w:tcPr>
            <w:tcW w:w="19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94310"/>
                <wp:effectExtent l="0" t="0" r="0" b="0"/>
                <wp:wrapNone/>
                <wp:docPr id="64" name="Frame6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048"/>
        <w:gridCol w:w="428"/>
        <w:gridCol w:w="396"/>
        <w:gridCol w:w="353"/>
        <w:gridCol w:w="353"/>
        <w:gridCol w:w="246"/>
        <w:gridCol w:w="111"/>
        <w:gridCol w:w="111"/>
        <w:gridCol w:w="111"/>
        <w:gridCol w:w="231"/>
        <w:gridCol w:w="907"/>
        <w:gridCol w:w="111"/>
        <w:gridCol w:w="109"/>
        <w:gridCol w:w="109"/>
        <w:gridCol w:w="109"/>
        <w:gridCol w:w="419"/>
        <w:gridCol w:w="1116"/>
        <w:gridCol w:w="203"/>
        <w:gridCol w:w="109"/>
        <w:gridCol w:w="109"/>
        <w:gridCol w:w="109"/>
        <w:gridCol w:w="284"/>
        <w:gridCol w:w="1134"/>
        <w:gridCol w:w="138"/>
        <w:gridCol w:w="109"/>
        <w:gridCol w:w="109"/>
        <w:gridCol w:w="109"/>
        <w:gridCol w:w="270"/>
        <w:gridCol w:w="1062"/>
        <w:gridCol w:w="192"/>
      </w:tblGrid>
      <w:tr>
        <w:trPr/>
        <w:tc>
          <w:tcPr>
            <w:tcW w:w="104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STOCKHOLDERS’ EQUITY</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18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Common Stock </w:t>
              <w:br/>
              <w:t xml:space="preserve">and </w:t>
              <w:b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1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 </w:t>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7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2022</w:t>
            </w:r>
          </w:p>
        </w:tc>
        <w:tc>
          <w:tcPr>
            <w:tcW w:w="70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597.7 </w:t>
            </w:r>
          </w:p>
        </w:tc>
        <w:tc>
          <w:tcPr>
            <w:tcW w:w="2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1,932.7 </w:t>
            </w:r>
          </w:p>
        </w:tc>
        <w:tc>
          <w:tcPr>
            <w:tcW w:w="1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(55.6)</w:t>
            </w:r>
          </w:p>
        </w:tc>
        <w:tc>
          <w:tcPr>
            <w:tcW w:w="20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(1,667.1)</w:t>
            </w:r>
          </w:p>
        </w:tc>
        <w:tc>
          <w:tcPr>
            <w:tcW w:w="13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210.0 </w:t>
            </w:r>
          </w:p>
        </w:tc>
        <w:tc>
          <w:tcPr>
            <w:tcW w:w="19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(250.0)</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(250.0)</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2023</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616.7 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(1,227.4)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1,748.4 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282.7 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282.7 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1,115.3 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1,115.3 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3,821.1 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5,169.7 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369.3 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369.3 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1,285.3 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1,285.3 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r>
      <w:tr>
        <w:trPr/>
        <w:tc>
          <w:tcPr>
            <w:tcW w:w="18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667.9 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5,291.9 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48.4 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7,824.4 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94310"/>
                <wp:effectExtent l="0" t="0" r="0" b="0"/>
                <wp:wrapNone/>
                <wp:docPr id="65" name="Frame6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center"/>
        <w:tblInd w:w="0" w:type="dxa"/>
        <w:tblLayout w:type="fixed"/>
        <w:tblCellMar>
          <w:top w:w="28" w:type="dxa"/>
          <w:left w:w="28" w:type="dxa"/>
          <w:bottom w:w="28" w:type="dxa"/>
          <w:right w:w="28" w:type="dxa"/>
        </w:tblCellMar>
      </w:tblPr>
      <w:tblGrid>
        <w:gridCol w:w="2252"/>
        <w:gridCol w:w="1790"/>
        <w:gridCol w:w="1799"/>
        <w:gridCol w:w="226"/>
        <w:gridCol w:w="886"/>
        <w:gridCol w:w="109"/>
        <w:gridCol w:w="109"/>
        <w:gridCol w:w="109"/>
        <w:gridCol w:w="109"/>
        <w:gridCol w:w="226"/>
        <w:gridCol w:w="886"/>
        <w:gridCol w:w="109"/>
        <w:gridCol w:w="109"/>
        <w:gridCol w:w="109"/>
        <w:gridCol w:w="109"/>
        <w:gridCol w:w="226"/>
        <w:gridCol w:w="886"/>
        <w:gridCol w:w="156"/>
      </w:tblGrid>
      <w:tr>
        <w:trPr/>
        <w:tc>
          <w:tcPr>
            <w:tcW w:w="225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CASH FLOWS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8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58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Adjustments to reconcile net income to net cash provided by operating activities:</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income taxes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(349.9)</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(2,033.7)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contract costs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446.0 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413.4 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 of contingent consideration liability</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of operating lease right-of-use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investment premiums, net of accretion of purchase discounts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(52.2)</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effects of acquisitions: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(345.3)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(320.3)</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Financing receivables,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(555.0)</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(489.3)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(431.9)</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(74.8)</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3,257.6 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2,777.5 </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investments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(3,695.9)</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(3,551.3)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(5,460.4)</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maturities of investments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1,594.9 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2,811.5 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Business acquisitions, net of cash and restricted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property, equipment, and other assets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(246.2)</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(156.8)</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(146.3)</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Repayments of convertible senior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Repurchases of common stock</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(272.7)</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shares through employee equity incentive plans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Payments for taxes related to net share settlement of equity awards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(183.8)</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(20.4)</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(1,726.3)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(decrease) in cash, cash equivalents, and restricted cash</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(982.6)</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cash—end of period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1,546.8 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1,142.2 </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the consolidated balance sheets</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prepaid expenses and other current assets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Total cash, cash equivalents, and restricted cash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Non-cash investing and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Equity consideration for business acquisitions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for a business acquisition</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Supplemental disclosures of cash flow information</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paid for income taxes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paid for contractual interest</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94310"/>
                <wp:effectExtent l="0" t="0" r="0" b="0"/>
                <wp:wrapNone/>
                <wp:docPr id="66" name="Frame6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 Description of Business and Summary of Significant Accounting Policies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Description of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(the “Company,” “we,” “us,” or “our”), headquartered in Santa Clara, California, was incorporated in March 2005 under the laws of the State of Delaware and commenced operations in April 2005. Our cybersecurity platforms and services help enterprises, organizations, service providers, and government entities to secure their users, networks, clouds, and endpoints by delivering comprehensive cybersecurity backed by artificial intelligence and automation.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Basis of Presentation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accompanying consolidated financial statements have been prepared in conformity with U.S. generally accepted accounting principles (“U.S. GAAP”). The consolidated financial statements include all adjustments necessary for a fair presentation of our annual results. All adjustments are of a normal recurring nature.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Principles of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consolidated financial statements include our accounts and our wholly owned subsidiaries. All significant intercompany balances and transactions have been eliminated in consolidation.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Use of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consolidated financial statements in conformity with U.S. GAAP requires management to make estimates and assumptions that affect the amounts reported and disclosed in the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fair value of our contingent consideration liability, the assessment of recoverability of our intangibles and goodwill, valuation allowance against deferred tax assets, valuation of inventory and manufacturing partner and supplier liabilities, deferred contract costs benefit period, and loss contingencies. We base our estimates on assumptions, both historical and forward looking, that we believe are reasonable. Actual results could differ materially from those estimates due to risks and uncertainties.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Stock Split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12, 2024, we effected a two-for-one stock split of our outstanding shares of common stock through an amendment to our restated certificate of incorporation (“Stock Split”), which also effected a proportionate increase in the number of authorized shares of our common stock from 1.0 billion to 2.0 billion. The par value per share of our common stock remains unchanged at $0.0001 per share after the Stock Split. All references made to share or per share amounts related to our common stock have been retroactively adjusted on the accompanying consolidated financial statements and applicable disclosures to reflect the effects of the Stock Split.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Concentrations of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Financial instruments that subject us to concentrations of credit risk consist primarily of cash and cash equivalents, investments, derivative contracts, accounts receivable and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invest only in high-quality credit instruments and our cash and cash equivalents and available-for-sale investments consist primarily of fixed income securities held at large, diverse financial institutions to reduce the credit risk exposure to any single financial institution. Deposits held with banks may exceed the amount of insurance provided on such deposits.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derivative contracts expose us to credit risk to the extent that the counterparties are unable to meet the terms of the arrangement. We mitigate credit risk by transacting with multiple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accounts receivable are primarily derived from our distributors in various geographical locations. Our financing receivables are with qualified end-customers and channel partners. We perform ongoing credit evaluations and generally do not require collateral on accounts receivable or financing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94310"/>
                <wp:effectExtent l="0" t="0" r="0" b="0"/>
                <wp:wrapNone/>
                <wp:docPr id="67" name="Frame6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three distributors individually represented 10% or more of our gross accounts receivable, and in the aggregate represented 44.8% of our gross accounts receivable. As of July 31, 2025, no end-customers or channel partners represented 10% or more of our gross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fiscal 2025, three distributors represented 10% or more of our total revenue, representing 18.8%, 14.4%, and 11.0% respectively. No single end-customer accounted for more than 10% of our total revenue in fiscal 2025, 2024, or 2023.</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on an electronics manufacturing services provider (“EMS provider”) to assemble most of our products and sole source component suppliers for certain components.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Comprehensive Income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Comprehensive income is comprised of net income and other comprehensive income. Our other comprehensive income includes unrealized gains and losses on available-for-sale investments and unrealized gains and losses on cash flow hedges, net of tax effects.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Foreign Currency Transactions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functional currency of our foreign subsidiaries is the U.S. dollar. Monetary assets and liabilities denominated in foreign currencies have been remeasured into U.S. dollars using the exchange rates in effect at the balance sheet dates. Foreign currency remeasurement gains and losses and foreign currency transaction gains and losses are not significant to the consolidated financial statements.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categorize assets and liabilities recorded or disclosed at fair value on our consolidated balance sheets based upon the level of judgment associated with inputs used to measure their fair value. The categories are as follows: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1—Inputs are unadjusted quoted prices in active markets for identical assets or liabilities.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3—Inputs are unobservable inputs based on our own assumptions used to measure assets and liabilities at fair value. The inputs require significant management judgment or estimation.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financial assets and liabilities that are measured at fair value on a recurring basis include marketable securities, derivative financial instruments, and contingent consideration liability. Goodwill, intangible assets, and other long-lived assets are measured at fair value on a nonrecurring basis, only if impairment is indicated. Certain certificates of deposit, time deposits, and overnight sweep accounts recorded in cash and cash equivalents and short-term investments are stated at their carrying amounts, which approximate fair value due to their short maturities. The carrying amounts of accounts receivable, accounts payable, and accrued liabilities approximate fair value due to their short-term nature.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Cash, Cash Equivalents, and Investments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consider all highly liquid investments with original maturities of three months or less at the date of purchase to be cash equivalents. Investments not considered cash equivalents and with maturities of one year or less from the consolidated balance sheet date are classified as short-term investments. Investments with maturities greater than one year from the consolidated balance sheet date are classified as long-term investments.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the classification of our investments in marketable debt securities at the time of purchase and reevaluate such determination at each balance sheet date. Our marketable debt securities are classified as available-for-sale. Debt securities in an unrealized loss position are written down to its fair value with the corresponding charge recorded in other income, net on our consolidated statements of operations, if it is more likely than not that we will be required to sell the impaired security before recovery of its amortized cost basis, or we have the intention to sell the security. If neither of these conditions are met, we determine whether a credit loss exists by comparing the present value of the expected cash flows of the security with its amortized cost basis. An allowance for credit losses is recorded in other income, net on our consolidated statements of operations for an amount not to exceed the unrealized loss. Unrealized losses that are not credit-related are included in accumulated other comprehensive income (loss) (“AOCI”) in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94310"/>
                <wp:effectExtent l="0" t="0" r="0" b="0"/>
                <wp:wrapNone/>
                <wp:docPr id="68" name="Frame6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Accounts Receivable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Trade accounts receivable are recorded at the invoiced amount, net of allowances for credit losses. The allowance for credit losses is based on our assessment of collectability. Management regularly reviews the adequacy of the allowance for credit losses on a collective basis by considering the age of each outstanding invoice, each customer’s expected ability to pay and collection history, current market conditions, and, where appropriate, reasonable and supportable forecasts of future economic conditions. Accounts receivable deemed uncollectible are charged against the allowance for credit losses. For the years ended July 31, 2025, 2024 and 2023, the allowance for credit losses activity was not significant.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provide financing arrangements for certain qualified end-customers and channel partners to purchase our products and services. Payment terms on these financing arrangements are generally two to five years. Financing receivables are recorded at amortized cost, which approximates fair value. As part of our financing credit risk management policy, we may sell financing receivables with an internal risk rating of 5 or greater on a non-recourse basis to third-party financial institutions when the outstanding balance of our financing receivables exceeds preestablished thresholds. The financing receivables are derecognized upon sale as these transactions qualify as true sales. We classify the proceeds from these sales as cash flows from operating activities on our consolidated statements of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evaluate the allowance for credit losses by assessing the risks and losses inherent in our financing receivables on either an individual or a collective basis. Our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Derivatives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exposed to foreign currency exchange risk, which we manage through the use of derivative financial instruments. Our derivative financial instruments are recorded at fair value, on a gross basis, as either assets or liabilities on our consolidated balance sheets.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 portion of our operating expenditures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revenue and operating expenditures. Gains and losses related to the effective portion of our cash flow hedges are recorded as a component of AOCI on our consolidated balance sheets and are reclassified into the financial statement line item associated with the underlying hedged transaction on our consolidated statements of operations when the underlying hedged transaction is recognized in earnings. In the event the underlying hedged transaction does not occur, or it becomes probable that it will not occur within the defined hedge period, the gains or losses on the related cash flow hedges are recognized in other income, net on our consolidated statements of operations. Cash flows from foreign currency derivative contracts designated as cash flow hedges are classified on our consolidated statements of cash flows in the same manner as the underlying hedged transaction, primarily within cash flows from 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enter into foreign currency derivative contracts to hedge a portion of our outstanding monetary assets and liabilities denominated in foreign currencies. These derivatives are not designated as hedging instruments for accounting purposes, and the related gains and losses are recorded in other income, net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Inventory and Manufacturing Partner and Supplier Liabilities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Inventory consists primarily of raw materials and service-related spares, and is stated at the lower of average cost and net realizable value. Inventory is included in prepaid expenses and other current assets on our consolidated balance sheets. Inventory that is obsolete or in excess of forecasted demand is written down to its estimated realizable value. Once inventory has been written down, a new, lower-cost basis for that inventory is established.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outsource most of our manufacturing, repair, and supply chain management operations to our EMS provider and payments to it are a significant portion of our cost of product revenue. Although we are contractually obligated to purchase manufactured products and components, we generally do not own the components and manufactured products. Product title transfers from our EMS provider to us and immediately to our customers upon shipment. We record a liability for manufacturing purchase commitments in excess of our forecasted demand.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use consistent demand forecasts for our valuation of excess and obsolete inventory and manufacturing partner and supplier liabilities. These forecasts are based upon historical trends and analysis, adjusted for overall market conditions. Inventory write-downs and excess manufacturing purchase commitment charges are included in cost of product revenue on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94310"/>
                <wp:effectExtent l="0" t="0" r="0" b="0"/>
                <wp:wrapNone/>
                <wp:docPr id="69" name="Frame6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Property and Equipment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Property and equipment are stated at cost, less accumulated depreciation. Depreciation is computed using the straight-line method over the estimated useful lives of the assets. Land is not depreciated. The estimated useful lives of our depreciable assets are as follows:</w:t>
      </w:r>
    </w:p>
    <w:tbl>
      <w:tblPr>
        <w:tblW w:w="7840" w:type="dxa"/>
        <w:jc w:val="left"/>
        <w:tblInd w:w="0" w:type="dxa"/>
        <w:tblLayout w:type="fixed"/>
        <w:tblCellMar>
          <w:top w:w="28" w:type="dxa"/>
          <w:left w:w="28" w:type="dxa"/>
          <w:bottom w:w="28" w:type="dxa"/>
          <w:right w:w="28" w:type="dxa"/>
        </w:tblCellMar>
      </w:tblPr>
      <w:tblGrid>
        <w:gridCol w:w="1270"/>
        <w:gridCol w:w="1115"/>
        <w:gridCol w:w="1124"/>
        <w:gridCol w:w="109"/>
        <w:gridCol w:w="109"/>
        <w:gridCol w:w="109"/>
        <w:gridCol w:w="1172"/>
        <w:gridCol w:w="1172"/>
        <w:gridCol w:w="1660"/>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Useful life</w:t>
            </w:r>
          </w:p>
        </w:tc>
      </w:tr>
      <w:tr>
        <w:trPr/>
        <w:tc>
          <w:tcPr>
            <w:tcW w:w="350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Computers, equipment, and software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3 years - 5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Demonstration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4 years</w:t>
            </w:r>
          </w:p>
        </w:tc>
      </w:tr>
      <w:tr>
        <w:trPr/>
        <w:tc>
          <w:tcPr>
            <w:tcW w:w="350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Furniture and fixtures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Lesser of 10 years or remaining lease term</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Business Combinations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include the results of operations of the businesses that we acquire as of the respective dates of acquisition. We allocate the fair value of the purchase price of our acquisitions to the assets acquired and liabilities assumed, including contingent consideration, generally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Contingent consideration obligation incurred in connection with a business combination is recorded at fair value on the acquisition date and remeasured at each subsequent reporting period until the related contingencies have been resolved, with the change in fair value recognized in general and administrative expense on our consolidated statements of operations. Payments not made soon after the acquisition date to settle a contingent consideration liability are classified as cash flows from financing activities up to the amount of the contingent consideration liability recognized at the acquisition date.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Purchased intangible assets with finite lives are carried at cost, less accumulated amortization. Amortization is computed using the straight-line method over the estimated useful lives of the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Impairment of Goodwill, Intangible Assets, and Other Long-Lived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is less than its carrying amount, then the quantitative impairment test will be performed. Under the quantitative impairment test, if the carrying amount exceeds its fair value, we will recognize an impairment loss in an amount equal to that excess but limited to the total amount of 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evaluate events and changes in circumstances that could indicate carrying amounts of purchased intangible assets and other long-lived assets may not be recoverable. When such events or changes in circumstances occur, we assess the recoverability of an asset or asset group by determining whether or not the carrying amount will be recovered through undiscounted expected future cash flows. If the total of the future undiscounted cash flows is less than the carrying amount of an asset or asset group, we record an impairment loss for the amount by which the carrying amount exceeds the fair value of the asset or asset group.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did not recognize any impairment losses on our goodwill, intangible assets, or other long-lived assets during the years ended July 31, 2025, 2024, and 2023.</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convertible senior notes were fully settled upon maturity as of July 31, 2025. Prior to settlement, our convertible senior notes were accounted for as a liability and measured at their amortized cost. Transaction costs related to the issuance of the notes were netted with the liability and were amortized on a straight-line basis, which approximates the effective interest rate method, to interest expense over the term of the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Revenue Recognition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revenue consists of product revenue and subscription and support revenue. Revenue is recognized when control of promised products, subscriptions and support services are transferred to customers, in an amount that reflects the expected consideration in exchange for those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94310"/>
                <wp:effectExtent l="0" t="0" r="0" b="0"/>
                <wp:wrapNone/>
                <wp:docPr id="70" name="Frame6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revenue recognition through the following steps: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Identification of the contract, or contracts, with a customer.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Identification of the performance obligations in the contract.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Determination of the transaction price.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Allocation of the transaction price to the performance obligations in the contract.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Recognition of revenue when, or as, we satisfy a performance obligation.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Revenues are reported net of sales taxes. Shipping charges billed to our customers are included in revenue and related costs are included in cost of revenue.</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our hardware products and software licenses. Our hardware products and software licenses include a broad set of built-in networking and security features and functionalities. We recognize product revenue at the time of hardware shipment or delivery of software license.</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We recognize subscription and support revenue over time as the services are performed. Our contractual subscription and support contracts are typically one to five years.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Contracts with Multiple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record deferred revenue when customers are invoiced or cash payments are received in advance of our performance. Our payment terms typically require payment within 30 to 45 days of the date we issue an invoice. The current portion of deferred revenue represents the amounts that are expected to be recognized as revenue within one year of the consolidated balance sheet date.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Contract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Certain sales commissions for initial contracts are not commensurate with the commissions for renewal contracts, given the substantive difference in commission rates in proportion to their respective contract values. Sales commissions for initial contracts that are not commensurate are amortized over a benefit period of five years. The benefit period is determined by taking into consideration contract length, expected renewals, technology life, and other quantitative and qualitative factors. Sales commissions for initial contracts that are commensurate and sales commissions for renewal contracts are amortized over the related contractual period.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classify deferred contract costs as short-term or long-term based on when we expect to recognize the expense. The amortization of deferred contract costs is included in sales and marketing expense on our consolidated statements of operations. Deferred contract costs are periodically reviewed for impairment. We did not recognize any impairment losses on our deferred contract costs during the years ended July 31, 2025,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94310"/>
                <wp:effectExtent l="0" t="0" r="0" b="0"/>
                <wp:wrapNone/>
                <wp:docPr id="71" name="Frame7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Software Development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Internally developed software includes security software developed to deliver our cloud-based subscription offerings to our end-customers. We capitalize internal compensation-related costs and external direct costs incurred during the application development stage and amortize these costs over a useful life of three years. As of July 31, 2025 and 2024, we capitalized as other assets on our consolidated balance sheets $167.3 million and $129.2 million in costs, respectively, net of accumulated amortization, for security software developed to deliver our cloud-based subscription offerings. We recognized amortization expense of $82.7 million, $77.2 million, and $79.5 million related to these capitalized costs as cost of subscription and support revenue on our consolidated statements of operations during the years ended July 31, 2025, 2024, and 2023,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Compensation expense related to share-based transactions is measured at fair value on the grant date. We recognize share-based compensation expense for awards with only service conditions on a straight-line basis over the requisite service period. We recognize share-based compensation expense for awards with market conditions and awards with performance conditions on a straight-line basis over the requisite service period for each separately vesting tranche of the award. We recognize share-based compensation expense for awards with performance conditions when it is probable that the performance condition will be achieved. We account for forfeitures of all share-based payment awards when they occur.</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Leases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if an arrangement is a lease at inception. We evaluate the classification of leases at commencement and, as necessary, at modification. Operating lease related balances are included in operating lease right-of-use assets, accrued and other liabilities, and long-term operating lease liabilities on our consolidated balance sheets. We did not have any material finance leases in any of the periods presented.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 represent our right to use an underlying asset for the lease term. Operating lease liabilities represent our obligation to make payments arising from the lease. Operating lease right-of-use assets and liabilities are recognized at the present value of the future lease payments at the lease commencement date. The interest rate used to determine the present value of the future lease payments is our incremental borrowing rate, because the interest rates implicit in our leases are not readily determinable. Our incremental borrowing rate is estimated to approximate the interest rate on a collateralized basis with similar terms and payments, and in similar economic environments.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lease terms may include periods under options to extend or terminate the lease when it is reasonably certain that we will exercise that option. We generally use the base, non-cancelable lease term when determining our operating lease right-of-use assets and lease liabilities. Operating lease costs are recognized on a straight-line basis over the lease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lease and non-lease components as a single lease component and do not recognize right-of-use assets and lease liabilities for leases with a term of 12 months or less. Payments under our lease arrangements are primarily fixed, however, certain lease agreements contain variable payments, which are expensed as incurred and not included in operating lease right-of-use assets and liabilities. Our variable lease payments primarily consist of real estate taxes, common area maintenance charges, and insurance costs.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94310"/>
                <wp:effectExtent l="0" t="0" r="0" b="0"/>
                <wp:wrapNone/>
                <wp:docPr id="72" name="Frame7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Loss Contingencies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Recently Adopted Accounting Pronouncement</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Segment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2023, the Financial Accounting Standards Board (“FASB”) issued authoritative guidance that expands annual and interim disclosure requirements for reportable segments, primarily through enhanced disclosures about significant segment expenses. We adopted the standard in our fourth quarter of fiscal 2025. Refer to Note 19. Segment Information for more details.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Recently Issued Accounting Pronouncements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Income Tax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December 2023, the FASB issued authoritative guidance that requires consistent categories and greater disaggregation of information in the effective tax rate reconciliation and additional disclosures of income taxes paid by jurisdiction. The standard is effective for our fiscal 2026 and could be applied either prospectively or retrospectively.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Expense Disaggregation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2024, the FASB issued authoritative guidance that expands annual and interim disclosure of specified information about certain costs and expenses in the notes to financial statements. The standard is effective for our annual period in fiscal 2028 and interim period in our first quarter of fiscal 2029, and could be applied either prospectively or retrospectively. Early adoption is permitted.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Measurement of Credit Losses for Accounts Receivable and Contract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July 2025, the FASB issued authoritative guidance that provides a practical expedient for estimating expected credit losses on accounts receivable and contract assets. The standard is effective for us in our first quarter of fiscal 2027 and will be applied on a prospective basis. Early adoption is permitted. We are currently evaluating the impact of this standard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2. Revenue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Disaggregation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by geographic theater (in millions):</w:t>
      </w:r>
    </w:p>
    <w:tbl>
      <w:tblPr>
        <w:tblW w:w="8576" w:type="dxa"/>
        <w:jc w:val="left"/>
        <w:tblInd w:w="0" w:type="dxa"/>
        <w:tblLayout w:type="fixed"/>
        <w:tblCellMar>
          <w:top w:w="28" w:type="dxa"/>
          <w:left w:w="28" w:type="dxa"/>
          <w:bottom w:w="28" w:type="dxa"/>
          <w:right w:w="28" w:type="dxa"/>
        </w:tblCellMar>
      </w:tblPr>
      <w:tblGrid>
        <w:gridCol w:w="1524"/>
        <w:gridCol w:w="1341"/>
        <w:gridCol w:w="1349"/>
        <w:gridCol w:w="226"/>
        <w:gridCol w:w="886"/>
        <w:gridCol w:w="109"/>
        <w:gridCol w:w="109"/>
        <w:gridCol w:w="109"/>
        <w:gridCol w:w="109"/>
        <w:gridCol w:w="226"/>
        <w:gridCol w:w="886"/>
        <w:gridCol w:w="109"/>
        <w:gridCol w:w="109"/>
        <w:gridCol w:w="109"/>
        <w:gridCol w:w="109"/>
        <w:gridCol w:w="226"/>
        <w:gridCol w:w="88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421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5,786.2 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5,134.0 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4,424.2 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Americas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Americas</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5,482.9 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4,719.9 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94310"/>
                <wp:effectExtent l="0" t="0" r="0" b="0"/>
                <wp:wrapNone/>
                <wp:docPr id="73" name="Frame7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for groups of similar products and services (in millions):</w:t>
      </w:r>
    </w:p>
    <w:tbl>
      <w:tblPr>
        <w:tblW w:w="7257" w:type="dxa"/>
        <w:jc w:val="left"/>
        <w:tblInd w:w="0" w:type="dxa"/>
        <w:tblLayout w:type="fixed"/>
        <w:tblCellMar>
          <w:top w:w="28" w:type="dxa"/>
          <w:left w:w="28" w:type="dxa"/>
          <w:bottom w:w="28" w:type="dxa"/>
          <w:right w:w="28" w:type="dxa"/>
        </w:tblCellMar>
      </w:tblPr>
      <w:tblGrid>
        <w:gridCol w:w="1047"/>
        <w:gridCol w:w="921"/>
        <w:gridCol w:w="927"/>
        <w:gridCol w:w="226"/>
        <w:gridCol w:w="886"/>
        <w:gridCol w:w="109"/>
        <w:gridCol w:w="109"/>
        <w:gridCol w:w="109"/>
        <w:gridCol w:w="109"/>
        <w:gridCol w:w="226"/>
        <w:gridCol w:w="886"/>
        <w:gridCol w:w="109"/>
        <w:gridCol w:w="109"/>
        <w:gridCol w:w="109"/>
        <w:gridCol w:w="109"/>
        <w:gridCol w:w="226"/>
        <w:gridCol w:w="88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28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2,445.2 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1,978.9 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5,314.3 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9,221.5 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8,027.5 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6,892.7 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2025 and 2024, we recognized approximately $5.5 billion and $4.6 billion of revenue pertaining to amounts that were deferred as of July 31, 2024 and 2023,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Remaining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 were $15.8 billion as of July 31, 2025, of which we expect to recognize as revenue approximately $7.0 billion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3. Fair Value Measurements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table presents our financial assets and liabilities measured at fair value on a recurring basis as of July 31, 2025 and 2024 (in millions): </w:t>
      </w:r>
    </w:p>
    <w:tbl>
      <w:tblPr>
        <w:tblW w:w="11978" w:type="dxa"/>
        <w:jc w:val="left"/>
        <w:tblInd w:w="0" w:type="dxa"/>
        <w:tblLayout w:type="fixed"/>
        <w:tblCellMar>
          <w:top w:w="28" w:type="dxa"/>
          <w:left w:w="28" w:type="dxa"/>
          <w:bottom w:w="28" w:type="dxa"/>
          <w:right w:w="28" w:type="dxa"/>
        </w:tblCellMar>
      </w:tblPr>
      <w:tblGrid>
        <w:gridCol w:w="584"/>
        <w:gridCol w:w="368"/>
        <w:gridCol w:w="369"/>
        <w:gridCol w:w="109"/>
        <w:gridCol w:w="109"/>
        <w:gridCol w:w="109"/>
        <w:gridCol w:w="226"/>
        <w:gridCol w:w="886"/>
        <w:gridCol w:w="109"/>
        <w:gridCol w:w="109"/>
        <w:gridCol w:w="109"/>
        <w:gridCol w:w="109"/>
        <w:gridCol w:w="316"/>
        <w:gridCol w:w="570"/>
        <w:gridCol w:w="109"/>
        <w:gridCol w:w="109"/>
        <w:gridCol w:w="109"/>
        <w:gridCol w:w="109"/>
        <w:gridCol w:w="226"/>
        <w:gridCol w:w="406"/>
        <w:gridCol w:w="109"/>
        <w:gridCol w:w="109"/>
        <w:gridCol w:w="109"/>
        <w:gridCol w:w="109"/>
        <w:gridCol w:w="226"/>
        <w:gridCol w:w="886"/>
        <w:gridCol w:w="109"/>
        <w:gridCol w:w="109"/>
        <w:gridCol w:w="109"/>
        <w:gridCol w:w="109"/>
        <w:gridCol w:w="226"/>
        <w:gridCol w:w="706"/>
        <w:gridCol w:w="109"/>
        <w:gridCol w:w="109"/>
        <w:gridCol w:w="109"/>
        <w:gridCol w:w="109"/>
        <w:gridCol w:w="316"/>
        <w:gridCol w:w="570"/>
        <w:gridCol w:w="109"/>
        <w:gridCol w:w="109"/>
        <w:gridCol w:w="109"/>
        <w:gridCol w:w="109"/>
        <w:gridCol w:w="226"/>
        <w:gridCol w:w="406"/>
        <w:gridCol w:w="109"/>
        <w:gridCol w:w="109"/>
        <w:gridCol w:w="109"/>
        <w:gridCol w:w="109"/>
        <w:gridCol w:w="226"/>
        <w:gridCol w:w="70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r>
      <w:tr>
        <w:trPr/>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2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Money market funds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299.6 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299.6 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94310"/>
                <wp:effectExtent l="0" t="0" r="0" b="0"/>
                <wp:wrapNone/>
                <wp:docPr id="74" name="Frame7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12925" w:type="dxa"/>
        <w:jc w:val="left"/>
        <w:tblInd w:w="0" w:type="dxa"/>
        <w:tblLayout w:type="fixed"/>
        <w:tblCellMar>
          <w:top w:w="28" w:type="dxa"/>
          <w:left w:w="28" w:type="dxa"/>
          <w:bottom w:w="28" w:type="dxa"/>
          <w:right w:w="28" w:type="dxa"/>
        </w:tblCellMar>
      </w:tblPr>
      <w:tblGrid>
        <w:gridCol w:w="723"/>
        <w:gridCol w:w="306"/>
        <w:gridCol w:w="307"/>
        <w:gridCol w:w="109"/>
        <w:gridCol w:w="109"/>
        <w:gridCol w:w="109"/>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26"/>
        <w:gridCol w:w="886"/>
        <w:gridCol w:w="109"/>
        <w:gridCol w:w="109"/>
        <w:gridCol w:w="109"/>
        <w:gridCol w:w="109"/>
        <w:gridCol w:w="226"/>
        <w:gridCol w:w="706"/>
        <w:gridCol w:w="109"/>
        <w:gridCol w:w="109"/>
        <w:gridCol w:w="109"/>
        <w:gridCol w:w="109"/>
        <w:gridCol w:w="226"/>
        <w:gridCol w:w="886"/>
        <w:gridCol w:w="109"/>
        <w:gridCol w:w="109"/>
        <w:gridCol w:w="109"/>
        <w:gridCol w:w="109"/>
        <w:gridCol w:w="226"/>
        <w:gridCol w:w="406"/>
        <w:gridCol w:w="109"/>
        <w:gridCol w:w="109"/>
        <w:gridCol w:w="109"/>
        <w:gridCol w:w="109"/>
        <w:gridCol w:w="226"/>
        <w:gridCol w:w="88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r>
      <w:tr>
        <w:trPr/>
        <w:tc>
          <w:tcPr>
            <w:tcW w:w="1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prepaid expenses and other current assets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 measured at fair value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6,415.4 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7,621.5 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494.0 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5,688.4 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6,182.4 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accrued and other liabilities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long-term liabilities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our contingent consideration liability is estimated using a discounted cash flow valuation technique. We consider the fair value of our contingent consideration liability to be a Level 3 measurement as we use unobservable inputs in determining discounted cash flows to estimate the fair value. The significant unobservable inputs include an estimate of future cash payments related to customers entering into qualified new transactions as well as a risk-adjusted discount rate used to present value the expected cash flows. A significant change in any of these assumptions could have a material impact to the fair value of our contingent consideration liability.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June 2025, we amended the terms of our contingent consideration arrangement with International Business Machines Corporation (“IBM”). During the three months ended July 31, 2025, we reduced our estimate of future cash payments based on the amended terms and our quarterly assessment of assumptions, including the magnitude and likelihood of customers entering into qualified new transactions, the competitive industry environment, and current market conditions.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our contingent consideration liability (in millions):</w:t>
      </w:r>
    </w:p>
    <w:tbl>
      <w:tblPr>
        <w:tblW w:w="8820" w:type="dxa"/>
        <w:jc w:val="left"/>
        <w:tblInd w:w="0" w:type="dxa"/>
        <w:tblLayout w:type="fixed"/>
        <w:tblCellMar>
          <w:top w:w="28" w:type="dxa"/>
          <w:left w:w="28" w:type="dxa"/>
          <w:bottom w:w="28" w:type="dxa"/>
          <w:right w:w="28" w:type="dxa"/>
        </w:tblCellMar>
      </w:tblPr>
      <w:tblGrid>
        <w:gridCol w:w="2130"/>
        <w:gridCol w:w="1870"/>
        <w:gridCol w:w="1879"/>
        <w:gridCol w:w="534"/>
        <w:gridCol w:w="1669"/>
        <w:gridCol w:w="257"/>
        <w:gridCol w:w="109"/>
        <w:gridCol w:w="109"/>
        <w:gridCol w:w="109"/>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Year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beginning of the period</w:t>
            </w:r>
          </w:p>
        </w:tc>
        <w:tc>
          <w:tcPr>
            <w:tcW w:w="53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66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Initial valuation on the acquisition date</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648.9 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w:t>
            </w:r>
          </w:p>
        </w:tc>
        <w:tc>
          <w:tcPr>
            <w:tcW w:w="220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(135.3)</w:t>
            </w:r>
          </w:p>
        </w:tc>
        <w:tc>
          <w:tcPr>
            <w:tcW w:w="25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end of the period</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94310"/>
                <wp:effectExtent l="0" t="0" r="0" b="0"/>
                <wp:wrapNone/>
                <wp:docPr id="75" name="Frame7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total estimated fair value of our financing receivables approximates their carrying amounts as of July 31, 2025 and 2024. We consider the fair value of our financing receivables to be a Level 3 measurement as we use unobservable inputs in determining discounted cash flows to estimate the fair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Note 11. Debt, for the carrying amount and estimated fair value of our convertible senior notes as of July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4. Cash Equivalents and Investments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Available-for-sale Debt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summarize the amortized cost, unrealized gains and losses, and fair value of our available-for-sale debt securities (in millions):</w:t>
      </w:r>
    </w:p>
    <w:tbl>
      <w:tblPr>
        <w:tblW w:w="10205" w:type="dxa"/>
        <w:jc w:val="left"/>
        <w:tblInd w:w="0" w:type="dxa"/>
        <w:tblLayout w:type="fixed"/>
        <w:tblCellMar>
          <w:top w:w="28" w:type="dxa"/>
          <w:left w:w="28" w:type="dxa"/>
          <w:bottom w:w="28" w:type="dxa"/>
          <w:right w:w="28" w:type="dxa"/>
        </w:tblCellMar>
      </w:tblPr>
      <w:tblGrid>
        <w:gridCol w:w="1250"/>
        <w:gridCol w:w="1095"/>
        <w:gridCol w:w="1051"/>
        <w:gridCol w:w="274"/>
        <w:gridCol w:w="1076"/>
        <w:gridCol w:w="132"/>
        <w:gridCol w:w="109"/>
        <w:gridCol w:w="109"/>
        <w:gridCol w:w="109"/>
        <w:gridCol w:w="366"/>
        <w:gridCol w:w="950"/>
        <w:gridCol w:w="178"/>
        <w:gridCol w:w="109"/>
        <w:gridCol w:w="109"/>
        <w:gridCol w:w="109"/>
        <w:gridCol w:w="437"/>
        <w:gridCol w:w="932"/>
        <w:gridCol w:w="211"/>
        <w:gridCol w:w="109"/>
        <w:gridCol w:w="109"/>
        <w:gridCol w:w="109"/>
        <w:gridCol w:w="226"/>
        <w:gridCol w:w="886"/>
        <w:gridCol w:w="160"/>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39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8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27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3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168.5 </w:t>
            </w:r>
          </w:p>
        </w:tc>
        <w:tc>
          <w:tcPr>
            <w:tcW w:w="16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8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4,587.9 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47.0 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4,633.8 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28.8 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27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6,130.3 </w:t>
            </w:r>
          </w:p>
        </w:tc>
        <w:tc>
          <w:tcPr>
            <w:tcW w:w="13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56.8 </w:t>
            </w:r>
          </w:p>
        </w:tc>
        <w:tc>
          <w:tcPr>
            <w:tcW w:w="17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211"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6,185.6 </w:t>
            </w:r>
          </w:p>
        </w:tc>
        <w:tc>
          <w:tcPr>
            <w:tcW w:w="16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314"/>
        <w:gridCol w:w="1039"/>
        <w:gridCol w:w="1043"/>
        <w:gridCol w:w="274"/>
        <w:gridCol w:w="1076"/>
        <w:gridCol w:w="132"/>
        <w:gridCol w:w="109"/>
        <w:gridCol w:w="109"/>
        <w:gridCol w:w="109"/>
        <w:gridCol w:w="366"/>
        <w:gridCol w:w="950"/>
        <w:gridCol w:w="178"/>
        <w:gridCol w:w="109"/>
        <w:gridCol w:w="109"/>
        <w:gridCol w:w="109"/>
        <w:gridCol w:w="437"/>
        <w:gridCol w:w="932"/>
        <w:gridCol w:w="211"/>
        <w:gridCol w:w="109"/>
        <w:gridCol w:w="109"/>
        <w:gridCol w:w="109"/>
        <w:gridCol w:w="226"/>
        <w:gridCol w:w="886"/>
        <w:gridCol w:w="160"/>
      </w:tblGrid>
      <w:tr>
        <w:trPr/>
        <w:tc>
          <w:tcPr>
            <w:tcW w:w="131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r>
      <w:tr>
        <w:trPr/>
        <w:tc>
          <w:tcPr>
            <w:tcW w:w="3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39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8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27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467.4 </w:t>
            </w:r>
          </w:p>
        </w:tc>
        <w:tc>
          <w:tcPr>
            <w:tcW w:w="13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467.4 </w:t>
            </w:r>
          </w:p>
        </w:tc>
        <w:tc>
          <w:tcPr>
            <w:tcW w:w="160"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8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Certificates of deposit</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79.9 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79.9 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4,065.5 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4,087.2 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21.7 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943.1 </w:t>
            </w:r>
          </w:p>
        </w:tc>
        <w:tc>
          <w:tcPr>
            <w:tcW w:w="13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6.3 </w:t>
            </w:r>
          </w:p>
        </w:tc>
        <w:tc>
          <w:tcPr>
            <w:tcW w:w="17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2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948.8 </w:t>
            </w:r>
          </w:p>
        </w:tc>
        <w:tc>
          <w:tcPr>
            <w:tcW w:w="1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5,188.9 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35.4 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5,216.8 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years ended July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94310"/>
                <wp:effectExtent l="0" t="0" r="0" b="0"/>
                <wp:wrapNone/>
                <wp:docPr id="76" name="Frame7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amortized cost and fair value of our available-for-sale debt securities as of July 31, 2025, by contractual years-to-maturity (in millions):</w:t>
      </w:r>
    </w:p>
    <w:tbl>
      <w:tblPr>
        <w:tblW w:w="6317" w:type="dxa"/>
        <w:jc w:val="left"/>
        <w:tblInd w:w="0" w:type="dxa"/>
        <w:tblLayout w:type="fixed"/>
        <w:tblCellMar>
          <w:top w:w="28" w:type="dxa"/>
          <w:left w:w="28" w:type="dxa"/>
          <w:bottom w:w="28" w:type="dxa"/>
          <w:right w:w="28" w:type="dxa"/>
        </w:tblCellMar>
      </w:tblPr>
      <w:tblGrid>
        <w:gridCol w:w="1158"/>
        <w:gridCol w:w="1016"/>
        <w:gridCol w:w="1021"/>
        <w:gridCol w:w="283"/>
        <w:gridCol w:w="1110"/>
        <w:gridCol w:w="136"/>
        <w:gridCol w:w="109"/>
        <w:gridCol w:w="109"/>
        <w:gridCol w:w="109"/>
        <w:gridCol w:w="226"/>
        <w:gridCol w:w="88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1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within one year</w:t>
            </w:r>
          </w:p>
        </w:tc>
        <w:tc>
          <w:tcPr>
            <w:tcW w:w="28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797.3 </w:t>
            </w:r>
          </w:p>
        </w:tc>
        <w:tc>
          <w:tcPr>
            <w:tcW w:w="13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798.5 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one and three years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three and five years</w:t>
            </w:r>
          </w:p>
        </w:tc>
        <w:tc>
          <w:tcPr>
            <w:tcW w:w="13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3,128.2 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3,161.5 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five and ten years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after ten years</w:t>
            </w:r>
          </w:p>
        </w:tc>
        <w:tc>
          <w:tcPr>
            <w:tcW w:w="13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183.2 </w:t>
            </w:r>
          </w:p>
        </w:tc>
        <w:tc>
          <w:tcPr>
            <w:tcW w:w="13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6,298.8 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Marketable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Marketable equity securities consist of money market funds and are included in cash and cash equivalents on our consolidated balance sheets. As of July 31, 2025 and 2024, the carrying values of our marketable equity securities were $1.2 billion and $494.0 million, respectively. There were no unrealized gains or losses recognized for these securities during the years ended July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5.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short-term and long-term financing receivables (in millions):</w:t>
      </w:r>
    </w:p>
    <w:tbl>
      <w:tblPr>
        <w:tblW w:w="6504" w:type="dxa"/>
        <w:jc w:val="left"/>
        <w:tblInd w:w="0" w:type="dxa"/>
        <w:tblLayout w:type="fixed"/>
        <w:tblCellMar>
          <w:top w:w="28" w:type="dxa"/>
          <w:left w:w="28" w:type="dxa"/>
          <w:bottom w:w="28" w:type="dxa"/>
          <w:right w:w="28" w:type="dxa"/>
        </w:tblCellMar>
      </w:tblPr>
      <w:tblGrid>
        <w:gridCol w:w="1338"/>
        <w:gridCol w:w="1173"/>
        <w:gridCol w:w="1179"/>
        <w:gridCol w:w="226"/>
        <w:gridCol w:w="886"/>
        <w:gridCol w:w="109"/>
        <w:gridCol w:w="109"/>
        <w:gridCol w:w="109"/>
        <w:gridCol w:w="109"/>
        <w:gridCol w:w="226"/>
        <w:gridCol w:w="88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69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gross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806.1 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830.2 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financing receivables, gross</w:t>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1,079.4 </w:t>
            </w:r>
          </w:p>
        </w:tc>
        <w:tc>
          <w:tcPr>
            <w:tcW w:w="109"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1,286.4 </w:t>
            </w:r>
          </w:p>
        </w:tc>
        <w:tc>
          <w:tcPr>
            <w:tcW w:w="154"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amortized cost basis of our financing receivables categorized by internal risk rating and year of origination (in millions):</w:t>
      </w:r>
    </w:p>
    <w:tbl>
      <w:tblPr>
        <w:tblW w:w="16159"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466"/>
        <w:gridCol w:w="109"/>
        <w:gridCol w:w="109"/>
        <w:gridCol w:w="109"/>
        <w:gridCol w:w="109"/>
        <w:gridCol w:w="226"/>
        <w:gridCol w:w="586"/>
        <w:gridCol w:w="109"/>
        <w:gridCol w:w="109"/>
        <w:gridCol w:w="109"/>
        <w:gridCol w:w="109"/>
        <w:gridCol w:w="226"/>
        <w:gridCol w:w="886"/>
        <w:gridCol w:w="109"/>
        <w:gridCol w:w="109"/>
        <w:gridCol w:w="109"/>
        <w:gridCol w:w="109"/>
        <w:gridCol w:w="226"/>
        <w:gridCol w:w="886"/>
        <w:gridCol w:w="109"/>
        <w:gridCol w:w="109"/>
        <w:gridCol w:w="109"/>
        <w:gridCol w:w="109"/>
        <w:gridCol w:w="226"/>
        <w:gridCol w:w="706"/>
        <w:gridCol w:w="109"/>
        <w:gridCol w:w="109"/>
        <w:gridCol w:w="109"/>
        <w:gridCol w:w="109"/>
        <w:gridCol w:w="226"/>
        <w:gridCol w:w="586"/>
        <w:gridCol w:w="109"/>
        <w:gridCol w:w="109"/>
        <w:gridCol w:w="109"/>
        <w:gridCol w:w="109"/>
        <w:gridCol w:w="226"/>
        <w:gridCol w:w="586"/>
        <w:gridCol w:w="109"/>
        <w:gridCol w:w="327"/>
        <w:gridCol w:w="226"/>
        <w:gridCol w:w="88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sans-serif" w:hAnsi="Montserrat;sans-serif"/>
                <w:b/>
                <w:color w:val="000000"/>
                <w:sz w:val="16"/>
              </w:rPr>
              <w:t>Internal Risk Rating</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1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 to 4</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260.9 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1,262.4 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885.9 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1,422.3 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5 to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7 to 10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Amortized cost basis of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Internal risk ratings are categorized as 1 through 10, with the lowest rating representing the highest quality.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sold $37.8 million of our financing receivables during the year ended July 31, 2025. The associated gains and losses were not material.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There was no significant activity in allowance for credit losses during the years ended July 31, 2025 and 2024. Past due amounts on financing receivables were not material as of July 31,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94310"/>
                <wp:effectExtent l="0" t="0" r="0" b="0"/>
                <wp:wrapNone/>
                <wp:docPr id="77" name="Frame7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6. Derivative Instruments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and 2024, the notional amount of our outstanding foreign currency forward contracts designated as cash flow hedges was $964.3 million and $804.8 million, respectively. Refer to Note 3. Fair Value Measurements for the fair value of our derivative instruments as reported on our consolidated balance sheets as of July 31, 2025 and 2024.</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unrealized gains and losses in AOCI related to our cash flow hedges were a $39.8 million net gain, of which $38.4 million in gains are expected to be recognized into earnings within the next 12 months. As of July 31, 2024, unrealized gains and losses in AOCI related to our cash flow hedges were a $10.6 million net loss.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and 2024, the notional amount of our outstanding foreign currency forward contracts not designated as hedging instruments was $504.2 million and $375.6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7. Inventory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and 2024, our inventory balance was $113.4 million and $115.9 million,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the years ended July 31, 2025 and 2024, inventory write-downs and excess manufacturing purchase commitment charges were $71.2 million and $24.9 million, respectively. For the year ended July 31, 2023, inventory write-downs and excess manufacturing purchase commitment charges was not significant.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8. Acquisitions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2025</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IBM QRadar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August 31, 2024, we completed the acquisition of certain IBM QRadar assets, including certain intellectual property rights, customer relationships, and software as a service customer contracts. The total purchase consideration for the acquisition was $1.1 billion, which consisted of the following (in millions):</w:t>
      </w:r>
    </w:p>
    <w:tbl>
      <w:tblPr>
        <w:tblW w:w="7641" w:type="dxa"/>
        <w:jc w:val="left"/>
        <w:tblInd w:w="0" w:type="dxa"/>
        <w:tblLayout w:type="fixed"/>
        <w:tblCellMar>
          <w:top w:w="28" w:type="dxa"/>
          <w:left w:w="28" w:type="dxa"/>
          <w:bottom w:w="28" w:type="dxa"/>
          <w:right w:w="28" w:type="dxa"/>
        </w:tblCellMar>
      </w:tblPr>
      <w:tblGrid>
        <w:gridCol w:w="2300"/>
        <w:gridCol w:w="2028"/>
        <w:gridCol w:w="2047"/>
        <w:gridCol w:w="226"/>
        <w:gridCol w:w="886"/>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637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500.0 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Fair value of contingent consideration liability on the acquisition date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648.9 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Return of purchase consideration</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(6.3)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agreed to make post-closing payments to IBM contingent upon customers entering into qualified new transactions through June 30, 2028. We also expect to receive a return of purchase consideration of $6.3 million due to timing of transition of certain underlying customer contracts, of which $2.9 million was received during the year ended July 31, 2025. In addition, we have entered into a transition services arrangement with IBM, under which IBM will perform certain services supporting the acquired assets and customers for a period of time that ends in the fiscal quarter ending October 2026.</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Payments related to the contingent consideration liability are expected to begin in the fiscal quarter ending October 2025 and continue through the fiscal quarter ending October 2028. The estimated range of undiscounted contingent consideration is between $0.4 billion and $0.6 billion. Refer to Note 3. Fair Value Measurements, for more information on the fair value of our contingent consideration liability.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831" w:type="dxa"/>
        <w:jc w:val="left"/>
        <w:tblInd w:w="0" w:type="dxa"/>
        <w:tblLayout w:type="fixed"/>
        <w:tblCellMar>
          <w:top w:w="28" w:type="dxa"/>
          <w:left w:w="28" w:type="dxa"/>
          <w:bottom w:w="28" w:type="dxa"/>
          <w:right w:w="28" w:type="dxa"/>
        </w:tblCellMar>
      </w:tblPr>
      <w:tblGrid>
        <w:gridCol w:w="927"/>
        <w:gridCol w:w="814"/>
        <w:gridCol w:w="824"/>
        <w:gridCol w:w="226"/>
        <w:gridCol w:w="88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700.7 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476.0 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expected post-acquisition synergies from increased market penetration to support the growth of our Cortex Security Operations business. The goodwill is deductible for U.S.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94310"/>
                <wp:effectExtent l="0" t="0" r="0" b="0"/>
                <wp:wrapNone/>
                <wp:docPr id="78" name="Frame7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assets acquired (in millions, except years):</w:t>
      </w:r>
    </w:p>
    <w:tbl>
      <w:tblPr>
        <w:tblW w:w="5712" w:type="dxa"/>
        <w:jc w:val="left"/>
        <w:tblInd w:w="0" w:type="dxa"/>
        <w:tblLayout w:type="fixed"/>
        <w:tblCellMar>
          <w:top w:w="28" w:type="dxa"/>
          <w:left w:w="28" w:type="dxa"/>
          <w:bottom w:w="28" w:type="dxa"/>
          <w:right w:w="28" w:type="dxa"/>
        </w:tblCellMar>
      </w:tblPr>
      <w:tblGrid>
        <w:gridCol w:w="794"/>
        <w:gridCol w:w="696"/>
        <w:gridCol w:w="700"/>
        <w:gridCol w:w="228"/>
        <w:gridCol w:w="712"/>
        <w:gridCol w:w="110"/>
        <w:gridCol w:w="109"/>
        <w:gridCol w:w="109"/>
        <w:gridCol w:w="109"/>
        <w:gridCol w:w="627"/>
        <w:gridCol w:w="627"/>
        <w:gridCol w:w="891"/>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464.0 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years</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years</w:t>
            </w:r>
          </w:p>
        </w:tc>
      </w:tr>
      <w:tr>
        <w:trPr/>
        <w:tc>
          <w:tcPr>
            <w:tcW w:w="21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476.0 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Protect AI,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22, 2025, we completed our acquisition of Protect AI, Inc. (“Protect AI”), a privately-held cyber security company focused on AI security. The total purchase consideration for the acquisition of Protect AI was $634.5 million,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607.4 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634.5 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$106.5 million of replacement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515.8 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634.5 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Protect AI technology into our platforms.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257"/>
        <w:gridCol w:w="668"/>
        <w:gridCol w:w="12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CyberArk Software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30, 2025, we entered into a definitive agreement to acquire CyberArk Software Ltd., an identity security company (“CyberArk”). The acquisition is expected to close during the second half of our fiscal 2026, subject to the satisfaction of customary closing conditions, including the receipt of CyberArk shareholder approval, the expiration of the waiting period under the Hart-Scott-Rodino Antitrust Improvements Act of 1976, as amended, and receipt of other approvals under specified antitrust and foreign investment laws. Under the terms of the agreement, CyberArk shareholders will receive $45.00 in cash and 2.2005 shares of our common stock for each CyberArk share. This represents an equity value of approximately $25 billion for CyberArk based on the unaffected 10-day average daily volume-weighted average trading prices of our common stock as of July 25, 2025. We expect to fund the cash portion of the consideration with our cash on hand. The agreement also provides that we will assume certain unvested outstanding equity awards held by CyberArk employees.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and CyberArk each have certain termination rights under the definitive acquisition agreement. A termination fee of $1.0 billion may be payable by us to CyberArk, or a fee of $750.0 million may be payable by CyberArk to us, upon termination of the definitive acquisition agreement under specified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94310"/>
                <wp:effectExtent l="0" t="0" r="0" b="0"/>
                <wp:wrapNone/>
                <wp:docPr id="79" name="Frame7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2024</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Dig Security Solutions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5, 2023, we completed our acquisition of Dig Security Solutions Ltd. (“Dig”), a privately-held cyber security company providing a data security posture management solution for multi-cloud environments. The total purchase consideration for the acquisition of Dig was $255.4 million,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247.6 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replacement equity awards, which included 0.4 million shares of our restricted common stock. The total fair value of the replacement equity awards was $72.0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22.1 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Dig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257"/>
        <w:gridCol w:w="668"/>
        <w:gridCol w:w="12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5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Talon Cyber Security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28, 2023, we completed our acquisition of Talon Cyber Security Ltd. (“Talon”), a privately-held cyber security company providing a secure enterprise browser solution. The total purchase consideration for the acquisition of Talon was $458.6 million,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458.6 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replacement equity awards, which included 0.6 million shares of our restricted common stock. The total fair value of the replacement equity awards was $109.6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94310"/>
                <wp:effectExtent l="0" t="0" r="0" b="0"/>
                <wp:wrapNone/>
                <wp:docPr id="80" name="Frame7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53.9 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458.6 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Talon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2" w:type="dxa"/>
        <w:jc w:val="left"/>
        <w:tblInd w:w="0" w:type="dxa"/>
        <w:tblLayout w:type="fixed"/>
        <w:tblCellMar>
          <w:top w:w="28" w:type="dxa"/>
          <w:left w:w="28" w:type="dxa"/>
          <w:bottom w:w="28" w:type="dxa"/>
          <w:right w:w="28" w:type="dxa"/>
        </w:tblCellMar>
      </w:tblPr>
      <w:tblGrid>
        <w:gridCol w:w="772"/>
        <w:gridCol w:w="677"/>
        <w:gridCol w:w="681"/>
        <w:gridCol w:w="228"/>
        <w:gridCol w:w="712"/>
        <w:gridCol w:w="110"/>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2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131.4 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2023</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Cider Security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On December 20, 2022, we completed our acquisition of Cider Security Ltd. (“Cider”), a privately-held cloud security company. The total purchase consideration for the acquisition of Cider was $198.3 million, which consisted of the following (in millions): </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198.0 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198.3 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replacement equity awards, which included 0.4 million shares of our restricted common stock. The total fair value of the replacement equity awards was $48.6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164.6 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198.3 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Cider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1"/>
        <w:gridCol w:w="677"/>
        <w:gridCol w:w="682"/>
        <w:gridCol w:w="257"/>
        <w:gridCol w:w="668"/>
        <w:gridCol w:w="124"/>
        <w:gridCol w:w="109"/>
        <w:gridCol w:w="109"/>
        <w:gridCol w:w="109"/>
        <w:gridCol w:w="627"/>
        <w:gridCol w:w="627"/>
        <w:gridCol w:w="89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ind w:left="0" w:right="0" w:hanging="270"/>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5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68"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27.8 </w:t>
            </w:r>
          </w:p>
        </w:tc>
        <w:tc>
          <w:tcPr>
            <w:tcW w:w="12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94310"/>
                <wp:effectExtent l="0" t="0" r="0" b="0"/>
                <wp:wrapNone/>
                <wp:docPr id="81" name="Frame8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Other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2023, we completed an acquisition for total purchase consideration of $18.9 million in cash. We have accounted for this transaction as a business combination and recorded goodwill of $14.5 million. The goodwill is not deductible for income tax purposes.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Additional Acquisition-Related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 forma results of operations have not been presented because the effects of the acquisitions were not material to our consolidated statements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 information related to our Protect AI acquisition,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9. Goodwill and Intangible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goodwill during the year ended July 31, 2025 (in millions):</w:t>
      </w:r>
    </w:p>
    <w:tbl>
      <w:tblPr>
        <w:tblW w:w="3860" w:type="dxa"/>
        <w:jc w:val="left"/>
        <w:tblInd w:w="0" w:type="dxa"/>
        <w:tblLayout w:type="fixed"/>
        <w:tblCellMar>
          <w:top w:w="28" w:type="dxa"/>
          <w:left w:w="28" w:type="dxa"/>
          <w:bottom w:w="28" w:type="dxa"/>
          <w:right w:w="28" w:type="dxa"/>
        </w:tblCellMar>
      </w:tblPr>
      <w:tblGrid>
        <w:gridCol w:w="939"/>
        <w:gridCol w:w="826"/>
        <w:gridCol w:w="829"/>
        <w:gridCol w:w="226"/>
        <w:gridCol w:w="88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9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2024</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3,350.1 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4,566.6 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Purchased 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purchased intangible assets (in millions):</w:t>
      </w:r>
    </w:p>
    <w:tbl>
      <w:tblPr>
        <w:tblW w:w="10205" w:type="dxa"/>
        <w:jc w:val="left"/>
        <w:tblInd w:w="0" w:type="dxa"/>
        <w:tblLayout w:type="fixed"/>
        <w:tblCellMar>
          <w:top w:w="28" w:type="dxa"/>
          <w:left w:w="28" w:type="dxa"/>
          <w:bottom w:w="28" w:type="dxa"/>
          <w:right w:w="28" w:type="dxa"/>
        </w:tblCellMar>
      </w:tblPr>
      <w:tblGrid>
        <w:gridCol w:w="475"/>
        <w:gridCol w:w="405"/>
        <w:gridCol w:w="406"/>
        <w:gridCol w:w="228"/>
        <w:gridCol w:w="894"/>
        <w:gridCol w:w="109"/>
        <w:gridCol w:w="109"/>
        <w:gridCol w:w="109"/>
        <w:gridCol w:w="109"/>
        <w:gridCol w:w="284"/>
        <w:gridCol w:w="910"/>
        <w:gridCol w:w="139"/>
        <w:gridCol w:w="109"/>
        <w:gridCol w:w="109"/>
        <w:gridCol w:w="109"/>
        <w:gridCol w:w="228"/>
        <w:gridCol w:w="713"/>
        <w:gridCol w:w="110"/>
        <w:gridCol w:w="109"/>
        <w:gridCol w:w="109"/>
        <w:gridCol w:w="109"/>
        <w:gridCol w:w="228"/>
        <w:gridCol w:w="894"/>
        <w:gridCol w:w="109"/>
        <w:gridCol w:w="109"/>
        <w:gridCol w:w="109"/>
        <w:gridCol w:w="109"/>
        <w:gridCol w:w="284"/>
        <w:gridCol w:w="910"/>
        <w:gridCol w:w="139"/>
        <w:gridCol w:w="109"/>
        <w:gridCol w:w="109"/>
        <w:gridCol w:w="109"/>
        <w:gridCol w:w="228"/>
        <w:gridCol w:w="712"/>
        <w:gridCol w:w="165"/>
      </w:tblGrid>
      <w:tr>
        <w:trPr/>
        <w:tc>
          <w:tcPr>
            <w:tcW w:w="47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2024</w:t>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Net Carrying Amount</w:t>
            </w:r>
          </w:p>
        </w:tc>
      </w:tr>
      <w:tr>
        <w:trPr/>
        <w:tc>
          <w:tcPr>
            <w:tcW w:w="128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subject to amortization:</w:t>
            </w:r>
          </w:p>
        </w:tc>
        <w:tc>
          <w:tcPr>
            <w:tcW w:w="123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(123.2)</w:t>
            </w:r>
          </w:p>
        </w:tc>
        <w:tc>
          <w:tcPr>
            <w:tcW w:w="1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485.8 </w:t>
            </w:r>
          </w:p>
        </w:tc>
        <w:tc>
          <w:tcPr>
            <w:tcW w:w="1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(96.1)</w:t>
            </w:r>
          </w:p>
        </w:tc>
        <w:tc>
          <w:tcPr>
            <w:tcW w:w="1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76.6 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Acquired intellectual property</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w:t>
            </w:r>
          </w:p>
        </w:tc>
        <w:tc>
          <w:tcPr>
            <w:tcW w:w="1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128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purchased intangible assets</w:t>
            </w:r>
          </w:p>
        </w:tc>
        <w:tc>
          <w:tcPr>
            <w:tcW w:w="22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1,169.6 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(406.9)</w:t>
            </w:r>
          </w:p>
        </w:tc>
        <w:tc>
          <w:tcPr>
            <w:tcW w:w="13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3"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762.7 </w:t>
            </w:r>
          </w:p>
        </w:tc>
        <w:tc>
          <w:tcPr>
            <w:tcW w:w="11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1,015.1 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1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(640.2)</w:t>
            </w:r>
          </w:p>
        </w:tc>
        <w:tc>
          <w:tcPr>
            <w:tcW w:w="13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374.9 </w:t>
            </w:r>
          </w:p>
        </w:tc>
        <w:tc>
          <w:tcPr>
            <w:tcW w:w="16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recognized amortization expense of $166.3 million, $120.9 million, and $104.9 million for the years ended July 31, 2025, 2024, and 2023, respectively.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estimated future amortization expense of our intangible assets subject to amortization as of July 31, 2025 (in millions):</w:t>
      </w:r>
    </w:p>
    <w:tbl>
      <w:tblPr>
        <w:tblW w:w="10325" w:type="dxa"/>
        <w:jc w:val="left"/>
        <w:tblInd w:w="0" w:type="dxa"/>
        <w:tblLayout w:type="fixed"/>
        <w:tblCellMar>
          <w:top w:w="28" w:type="dxa"/>
          <w:left w:w="28" w:type="dxa"/>
          <w:bottom w:w="28" w:type="dxa"/>
          <w:right w:w="28" w:type="dxa"/>
        </w:tblCellMar>
      </w:tblPr>
      <w:tblGrid>
        <w:gridCol w:w="451"/>
        <w:gridCol w:w="397"/>
        <w:gridCol w:w="398"/>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586"/>
        <w:gridCol w:w="109"/>
        <w:gridCol w:w="109"/>
        <w:gridCol w:w="109"/>
        <w:gridCol w:w="109"/>
        <w:gridCol w:w="226"/>
        <w:gridCol w:w="586"/>
        <w:gridCol w:w="109"/>
        <w:gridCol w:w="109"/>
        <w:gridCol w:w="109"/>
        <w:gridCol w:w="109"/>
        <w:gridCol w:w="231"/>
        <w:gridCol w:w="722"/>
        <w:gridCol w:w="158"/>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2031 and Thereafter</w:t>
            </w:r>
          </w:p>
        </w:tc>
      </w:tr>
      <w:tr>
        <w:trPr/>
        <w:tc>
          <w:tcPr>
            <w:tcW w:w="124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Future amortization expense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237.7 </w:t>
            </w:r>
          </w:p>
        </w:tc>
        <w:tc>
          <w:tcPr>
            <w:tcW w:w="15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94310"/>
                <wp:effectExtent l="0" t="0" r="0" b="0"/>
                <wp:wrapNone/>
                <wp:docPr id="82" name="Frame8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10. Property and Equipment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property and equipment, net (in millions):</w:t>
      </w:r>
    </w:p>
    <w:tbl>
      <w:tblPr>
        <w:tblW w:w="5964" w:type="dxa"/>
        <w:jc w:val="left"/>
        <w:tblInd w:w="0" w:type="dxa"/>
        <w:tblLayout w:type="fixed"/>
        <w:tblCellMar>
          <w:top w:w="28" w:type="dxa"/>
          <w:left w:w="28" w:type="dxa"/>
          <w:bottom w:w="28" w:type="dxa"/>
          <w:right w:w="28" w:type="dxa"/>
        </w:tblCellMar>
      </w:tblPr>
      <w:tblGrid>
        <w:gridCol w:w="1271"/>
        <w:gridCol w:w="1118"/>
        <w:gridCol w:w="1121"/>
        <w:gridCol w:w="226"/>
        <w:gridCol w:w="706"/>
        <w:gridCol w:w="109"/>
        <w:gridCol w:w="109"/>
        <w:gridCol w:w="109"/>
        <w:gridCol w:w="109"/>
        <w:gridCol w:w="226"/>
        <w:gridCol w:w="70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51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Computers, equipment, and software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466.0 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Land</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Demonstration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Furniture and fixtures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property and equipment, gross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accumulated depreciation</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(638.6)</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(559.2)</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property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recognized depreciation expense of $94.4 million, $85.1 million, and $95.9 million related to property and equipment during the years ended July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11. Debt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July 2018, we issued $1.7 billion aggregate principal amount of 0.75% Convertible Senior Notes due 2023 (the “2023 Notes”) and in June 2020, we issued $2.0 billion aggregate principal amount of 0.375% Convertible Senior Notes due 2025 (the “2025 Notes,” and together with the 2023 Notes, the “Notes”). The 2023 Notes bear interest at a fixed rate of 0.75% per year, payable semi-annually in arrears on January 1 and July 1 of each year, beginning on January 1, 2019. The 2023 Notes were converted prior to or settled on the maturity date of July 1, 2023 in accordance with their terms. The 2025 Notes bear interest at a fixed rate of 0.375% per year, payable semi-annually in arrears on June 1 and December 1 of each year, beginning on December 1, 2020. The 2025 Notes were converted prior to or settled on the maturity date of June 1, 2025 in accordance with their terms.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Notes (number of shares in millions):</w:t>
      </w:r>
    </w:p>
    <w:tbl>
      <w:tblPr>
        <w:tblW w:w="10205" w:type="dxa"/>
        <w:jc w:val="left"/>
        <w:tblInd w:w="0" w:type="dxa"/>
        <w:tblLayout w:type="fixed"/>
        <w:tblCellMar>
          <w:top w:w="28" w:type="dxa"/>
          <w:left w:w="28" w:type="dxa"/>
          <w:bottom w:w="28" w:type="dxa"/>
          <w:right w:w="28" w:type="dxa"/>
        </w:tblCellMar>
      </w:tblPr>
      <w:tblGrid>
        <w:gridCol w:w="360"/>
        <w:gridCol w:w="317"/>
        <w:gridCol w:w="318"/>
        <w:gridCol w:w="991"/>
        <w:gridCol w:w="935"/>
        <w:gridCol w:w="937"/>
        <w:gridCol w:w="109"/>
        <w:gridCol w:w="109"/>
        <w:gridCol w:w="109"/>
        <w:gridCol w:w="415"/>
        <w:gridCol w:w="1301"/>
        <w:gridCol w:w="203"/>
        <w:gridCol w:w="109"/>
        <w:gridCol w:w="109"/>
        <w:gridCol w:w="109"/>
        <w:gridCol w:w="498"/>
        <w:gridCol w:w="498"/>
        <w:gridCol w:w="499"/>
        <w:gridCol w:w="109"/>
        <w:gridCol w:w="109"/>
        <w:gridCol w:w="109"/>
        <w:gridCol w:w="586"/>
        <w:gridCol w:w="562"/>
        <w:gridCol w:w="804"/>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Convertible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r>
      <w:tr>
        <w:trPr/>
        <w:tc>
          <w:tcPr>
            <w:tcW w:w="995" w:type="dxa"/>
            <w:gridSpan w:val="3"/>
            <w:tcBorders/>
            <w:vAlign w:val="center"/>
          </w:tcPr>
          <w:p>
            <w:pPr>
              <w:pStyle w:val="TableContents"/>
              <w:bidi w:val="0"/>
              <w:spacing w:before="0" w:after="283"/>
              <w:jc w:val="left"/>
              <w:rPr>
                <w:sz w:val="4"/>
                <w:szCs w:val="4"/>
              </w:rPr>
            </w:pPr>
            <w:r>
              <w:rPr>
                <w:sz w:val="4"/>
                <w:szCs w:val="4"/>
              </w:rPr>
            </w:r>
          </w:p>
        </w:tc>
        <w:tc>
          <w:tcPr>
            <w:tcW w:w="2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r>
      <w:tr>
        <w:trPr/>
        <w:tc>
          <w:tcPr>
            <w:tcW w:w="9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2023 Notes</w:t>
            </w:r>
          </w:p>
        </w:tc>
        <w:tc>
          <w:tcPr>
            <w:tcW w:w="192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22.5270 </w:t>
            </w:r>
          </w:p>
        </w:tc>
        <w:tc>
          <w:tcPr>
            <w:tcW w:w="93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0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44.39 </w:t>
            </w:r>
          </w:p>
        </w:tc>
        <w:tc>
          <w:tcPr>
            <w:tcW w:w="20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April 1, 2023</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38.1 </w:t>
            </w:r>
          </w:p>
        </w:tc>
        <w:tc>
          <w:tcPr>
            <w:tcW w:w="80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Notes</w:t>
            </w:r>
          </w:p>
        </w:tc>
        <w:tc>
          <w:tcPr>
            <w:tcW w:w="19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20.1612 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March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40.3 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Holders of the 2023 Notes were able to early convert their 2023 Notes in fiscal 2023 up to April 1, 2023 and conversion requests received on or after April 1, 2023 were settled upon maturity of the 2023 Notes. Holders of the 2025 Notes were able to early convert their 2025 Notes in fiscal 2023, fiscal 2024, and fiscal 2025 up to March 1, 2025 and conversion requests received on or after March 1, 2025 were settled upon maturity of the 2025 Notes. During the years ended July 31, 2025, 2024, and 2023, we repaid in cash $965.6 million, $1.0 billion, and $1.7 billion, respectively, in aggregate principal amount of the Notes. We also issued 14.0 million, 14.0 million, and 22.9 million shares of our common stock to the holders of the Notes during the years ended July 31, 2025, 2024, and 2023, respectively, for the conversion value in excess of the principal amount. These shares were fully offset by shares we received from the corresponding exercise of the associated note hedges.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the net carrying amount of our 2025 Notes (in millions):</w:t>
      </w:r>
    </w:p>
    <w:tbl>
      <w:tblPr>
        <w:tblW w:w="7315" w:type="dxa"/>
        <w:jc w:val="left"/>
        <w:tblInd w:w="0" w:type="dxa"/>
        <w:tblLayout w:type="fixed"/>
        <w:tblCellMar>
          <w:top w:w="28" w:type="dxa"/>
          <w:left w:w="28" w:type="dxa"/>
          <w:bottom w:w="28" w:type="dxa"/>
          <w:right w:w="28" w:type="dxa"/>
        </w:tblCellMar>
      </w:tblPr>
      <w:tblGrid>
        <w:gridCol w:w="1536"/>
        <w:gridCol w:w="1349"/>
        <w:gridCol w:w="1359"/>
        <w:gridCol w:w="412"/>
        <w:gridCol w:w="740"/>
        <w:gridCol w:w="198"/>
        <w:gridCol w:w="109"/>
        <w:gridCol w:w="109"/>
        <w:gridCol w:w="109"/>
        <w:gridCol w:w="290"/>
        <w:gridCol w:w="907"/>
        <w:gridCol w:w="197"/>
      </w:tblGrid>
      <w:tr>
        <w:trPr/>
        <w:tc>
          <w:tcPr>
            <w:tcW w:w="153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r>
      <w:tr>
        <w:trPr/>
        <w:tc>
          <w:tcPr>
            <w:tcW w:w="42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Principal</w:t>
            </w:r>
          </w:p>
        </w:tc>
        <w:tc>
          <w:tcPr>
            <w:tcW w:w="41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965.6 </w:t>
            </w:r>
          </w:p>
        </w:tc>
        <w:tc>
          <w:tcPr>
            <w:tcW w:w="197"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debt issuance costs, net of amortization</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carrying amount</w:t>
            </w:r>
          </w:p>
        </w:tc>
        <w:tc>
          <w:tcPr>
            <w:tcW w:w="412"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963.9 </w:t>
            </w:r>
          </w:p>
        </w:tc>
        <w:tc>
          <w:tcPr>
            <w:tcW w:w="197"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total estimated fair value of the 2025 Notes was $3.2 billion as of July 31, 2024. The fair value was determined based on the closing trading price per $100 of the 2025 Notes as of the last day of trading for the period. We consider the fair value of the 2025 Notes at July 31, 2024 to be a Level 2 measurement. The fair value of the 2025 Notes is primarily affected by the trading price of our common stock and market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605" cy="14605"/>
                <wp:effectExtent l="0" t="0" r="0" b="0"/>
                <wp:wrapNone/>
                <wp:docPr id="83" name="Frame8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interest expense recognized related to the Notes (dollars in millions):</w:t>
      </w:r>
    </w:p>
    <w:tbl>
      <w:tblPr>
        <w:tblW w:w="12508" w:type="dxa"/>
        <w:jc w:val="left"/>
        <w:tblInd w:w="0" w:type="dxa"/>
        <w:tblLayout w:type="fixed"/>
        <w:tblCellMar>
          <w:top w:w="28" w:type="dxa"/>
          <w:left w:w="28" w:type="dxa"/>
          <w:bottom w:w="28" w:type="dxa"/>
          <w:right w:w="28" w:type="dxa"/>
        </w:tblCellMar>
      </w:tblPr>
      <w:tblGrid>
        <w:gridCol w:w="679"/>
        <w:gridCol w:w="373"/>
        <w:gridCol w:w="374"/>
        <w:gridCol w:w="226"/>
        <w:gridCol w:w="406"/>
        <w:gridCol w:w="271"/>
        <w:gridCol w:w="109"/>
        <w:gridCol w:w="109"/>
        <w:gridCol w:w="109"/>
        <w:gridCol w:w="226"/>
        <w:gridCol w:w="466"/>
        <w:gridCol w:w="271"/>
        <w:gridCol w:w="109"/>
        <w:gridCol w:w="109"/>
        <w:gridCol w:w="109"/>
        <w:gridCol w:w="226"/>
        <w:gridCol w:w="466"/>
        <w:gridCol w:w="109"/>
        <w:gridCol w:w="109"/>
        <w:gridCol w:w="109"/>
        <w:gridCol w:w="109"/>
        <w:gridCol w:w="226"/>
        <w:gridCol w:w="406"/>
        <w:gridCol w:w="271"/>
        <w:gridCol w:w="109"/>
        <w:gridCol w:w="109"/>
        <w:gridCol w:w="109"/>
        <w:gridCol w:w="226"/>
        <w:gridCol w:w="466"/>
        <w:gridCol w:w="271"/>
        <w:gridCol w:w="109"/>
        <w:gridCol w:w="109"/>
        <w:gridCol w:w="109"/>
        <w:gridCol w:w="226"/>
        <w:gridCol w:w="466"/>
        <w:gridCol w:w="109"/>
        <w:gridCol w:w="109"/>
        <w:gridCol w:w="109"/>
        <w:gridCol w:w="109"/>
        <w:gridCol w:w="226"/>
        <w:gridCol w:w="586"/>
        <w:gridCol w:w="271"/>
        <w:gridCol w:w="109"/>
        <w:gridCol w:w="109"/>
        <w:gridCol w:w="109"/>
        <w:gridCol w:w="226"/>
        <w:gridCol w:w="586"/>
        <w:gridCol w:w="271"/>
        <w:gridCol w:w="109"/>
        <w:gridCol w:w="109"/>
        <w:gridCol w:w="109"/>
        <w:gridCol w:w="226"/>
        <w:gridCol w:w="58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2023</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 Notes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42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Contractual interest expense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interest expense recognized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2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interest rate of the liability component</w:t>
            </w:r>
          </w:p>
        </w:tc>
        <w:tc>
          <w:tcPr>
            <w:tcW w:w="6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0.9</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Note Hedges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minimize the impact of potential economic dilution upon conversion of our convertible senior notes, we entered into separate convertible note hedge transactions (the “2023 Note Hedges,” with respect to the 2023 Notes, the “2025 Note Hedges,” with respect to the 2025 Notes, and the 2023 Note Hedges together with 2025 Note Hedges, the “Note Hedges”) with respect to our common stock concurrent with the issuance of each series of the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Note Hedges (in millions):</w:t>
      </w:r>
    </w:p>
    <w:tbl>
      <w:tblPr>
        <w:tblW w:w="6537" w:type="dxa"/>
        <w:jc w:val="left"/>
        <w:tblInd w:w="0" w:type="dxa"/>
        <w:tblLayout w:type="fixed"/>
        <w:tblCellMar>
          <w:top w:w="28" w:type="dxa"/>
          <w:left w:w="28" w:type="dxa"/>
          <w:bottom w:w="28" w:type="dxa"/>
          <w:right w:w="28" w:type="dxa"/>
        </w:tblCellMar>
      </w:tblPr>
      <w:tblGrid>
        <w:gridCol w:w="657"/>
        <w:gridCol w:w="577"/>
        <w:gridCol w:w="581"/>
        <w:gridCol w:w="789"/>
        <w:gridCol w:w="789"/>
        <w:gridCol w:w="792"/>
        <w:gridCol w:w="109"/>
        <w:gridCol w:w="109"/>
        <w:gridCol w:w="109"/>
        <w:gridCol w:w="421"/>
        <w:gridCol w:w="1316"/>
        <w:gridCol w:w="288"/>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Purchase</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2023 Note Hedges</w:t>
            </w:r>
          </w:p>
        </w:tc>
        <w:tc>
          <w:tcPr>
            <w:tcW w:w="157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38.1 </w:t>
            </w:r>
          </w:p>
        </w:tc>
        <w:tc>
          <w:tcPr>
            <w:tcW w:w="79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332.0 </w:t>
            </w:r>
          </w:p>
        </w:tc>
        <w:tc>
          <w:tcPr>
            <w:tcW w:w="2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Note Hedges</w:t>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40.3 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Note Hedges covered shares of our common stock at a strike price per share that corresponded to the initial applicable conversion price of the applicable series of the Notes and were exercisable upon conversion of the applicable series of the Notes. The Note Hedges expired upon maturity of the applicable series of the Notes. The Note Hedges are separate transactions and are not part of the terms of the applicable series of the Notes. Holders of the Notes of either series do not have any rights with respect to the Note Hedges. Any shares of our common stock receivable by us under the Note Hedges are excluded from the calculation of diluted earnings per share as they are antidilutive.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a result of the conversions of the Notes during the years ended July 31, 2025, 2024, and 2023, we exercised the corresponding portion of our Note Hedges and received 14.0 million, 14.0 million, and 22.9 million shares of our common stock during the respective periods.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Separately, but concurrently with the issuance of each series of our convertible senior notes, we entered into transactions whereby we sold warrants (the “2023 Warrants,” with respect to the 2023 Notes, the “2025 Warrants,” with respect to the 2025 Notes, and the 2023 Warrants together with the 2025 Warrants, the “Warrants”) to acquire shares of our common stock, subject to anti-dilution adjustments. The 2023 Warrants were, and the 2025 Warrants are, exercisable over 60 scheduled trading days beginning October 2023 and September 2025, respectively.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Warrants (in millions, except per share data):</w:t>
      </w:r>
    </w:p>
    <w:tbl>
      <w:tblPr>
        <w:tblW w:w="8648" w:type="dxa"/>
        <w:jc w:val="left"/>
        <w:tblInd w:w="0" w:type="dxa"/>
        <w:tblLayout w:type="fixed"/>
        <w:tblCellMar>
          <w:top w:w="28" w:type="dxa"/>
          <w:left w:w="28" w:type="dxa"/>
          <w:bottom w:w="28" w:type="dxa"/>
          <w:right w:w="28" w:type="dxa"/>
        </w:tblCellMar>
      </w:tblPr>
      <w:tblGrid>
        <w:gridCol w:w="537"/>
        <w:gridCol w:w="472"/>
        <w:gridCol w:w="475"/>
        <w:gridCol w:w="789"/>
        <w:gridCol w:w="789"/>
        <w:gridCol w:w="792"/>
        <w:gridCol w:w="109"/>
        <w:gridCol w:w="109"/>
        <w:gridCol w:w="109"/>
        <w:gridCol w:w="459"/>
        <w:gridCol w:w="1435"/>
        <w:gridCol w:w="221"/>
        <w:gridCol w:w="109"/>
        <w:gridCol w:w="109"/>
        <w:gridCol w:w="109"/>
        <w:gridCol w:w="421"/>
        <w:gridCol w:w="1316"/>
        <w:gridCol w:w="28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Strike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Proceeds</w:t>
            </w:r>
          </w:p>
        </w:tc>
      </w:tr>
      <w:tr>
        <w:trPr/>
        <w:tc>
          <w:tcPr>
            <w:tcW w:w="148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2023 Warrants</w:t>
            </w:r>
          </w:p>
        </w:tc>
        <w:tc>
          <w:tcPr>
            <w:tcW w:w="1578"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38.1 </w:t>
            </w:r>
          </w:p>
        </w:tc>
        <w:tc>
          <w:tcPr>
            <w:tcW w:w="792"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69.63 </w:t>
            </w:r>
          </w:p>
        </w:tc>
        <w:tc>
          <w:tcPr>
            <w:tcW w:w="22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1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145.4 </w:t>
            </w:r>
          </w:p>
        </w:tc>
        <w:tc>
          <w:tcPr>
            <w:tcW w:w="288"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Warrants</w:t>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40.3 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202.8 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shares issuable under the Warrants are included in the calculation of diluted earnings per share when the average market value per share of our common stock for the reporting period exceeds the applicable strike price for such series of Warrants. The Warrants are separate transactions and are not part of either series of Notes or Note Hedges and are not remeasured through earnings each reporting period. Holders of the Notes of either series do not have any rights with respect to the Warrants.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2024, we net settled all of the 2023 Warrants with 18.0 million shares of our common stock with a fair value of $2.4 billion. The number of net shares issued was determined based on the number of 2023 Warrants exercised multiplied by the difference between the strike price of the 2023 Warrants and their daily volume-weighted-average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94310"/>
                <wp:effectExtent l="0" t="0" r="0" b="0"/>
                <wp:wrapNone/>
                <wp:docPr id="84" name="Frame8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Revolving Credit Facility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13, 2023, we entered into a credit agreement (the “Credit Agreement”) with certain institutional lenders that provides for a $400.0 million unsecured revolving credit facility (the “Credit Facility”), with an option to increase the amount of the Credit Facility by up to an additional $350.0 million, subject to certain conditions. The Credit Facility matures on April 13, 2028.</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borrowings under the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there were no amounts outstanding and we were in compliance with all covenants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12. Leases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and data centers, with lease terms expiring through the year ending July 31, 2036. Some of our leases contain rent holiday periods, scheduled rent increases, lease incentives, early termination rights, and/or renewal options.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During the years ended July 31, 2025, 2024, and 2023, our net cost for operating leases was $121.7 million, $104.7 million, and $91.3 million, respectively, primarily consisting of operating lease costs of $88.1 million, $75.6 million, and $64.2 million, respectively. Our net cost for operating leases also included variable lease costs, short-term lease costs, and sublease income in the periods presented.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present additional information for our operating leases (in millions, except for years and percentages):</w:t>
      </w:r>
    </w:p>
    <w:tbl>
      <w:tblPr>
        <w:tblW w:w="10205" w:type="dxa"/>
        <w:jc w:val="left"/>
        <w:tblInd w:w="0" w:type="dxa"/>
        <w:tblLayout w:type="fixed"/>
        <w:tblCellMar>
          <w:top w:w="28" w:type="dxa"/>
          <w:left w:w="28" w:type="dxa"/>
          <w:bottom w:w="28" w:type="dxa"/>
          <w:right w:w="28" w:type="dxa"/>
        </w:tblCellMar>
      </w:tblPr>
      <w:tblGrid>
        <w:gridCol w:w="2201"/>
        <w:gridCol w:w="1880"/>
        <w:gridCol w:w="1886"/>
        <w:gridCol w:w="226"/>
        <w:gridCol w:w="586"/>
        <w:gridCol w:w="109"/>
        <w:gridCol w:w="109"/>
        <w:gridCol w:w="109"/>
        <w:gridCol w:w="109"/>
        <w:gridCol w:w="226"/>
        <w:gridCol w:w="706"/>
        <w:gridCol w:w="109"/>
        <w:gridCol w:w="109"/>
        <w:gridCol w:w="109"/>
        <w:gridCol w:w="109"/>
        <w:gridCol w:w="226"/>
        <w:gridCol w:w="586"/>
        <w:gridCol w:w="109"/>
        <w:gridCol w:w="109"/>
        <w:gridCol w:w="109"/>
        <w:gridCol w:w="109"/>
        <w:gridCol w:w="109"/>
        <w:gridCol w:w="109"/>
        <w:gridCol w:w="156"/>
      </w:tblGrid>
      <w:tr>
        <w:trPr/>
        <w:tc>
          <w:tcPr>
            <w:tcW w:w="2201"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cash flows used in payments of operating lease liabilities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82.7 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Right-of-use assets obtained in exchange for new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tbl>
      <w:tblPr>
        <w:tblW w:w="7475" w:type="dxa"/>
        <w:jc w:val="left"/>
        <w:tblInd w:w="0" w:type="dxa"/>
        <w:tblLayout w:type="fixed"/>
        <w:tblCellMar>
          <w:top w:w="28" w:type="dxa"/>
          <w:left w:w="28" w:type="dxa"/>
          <w:bottom w:w="28" w:type="dxa"/>
          <w:right w:w="28" w:type="dxa"/>
        </w:tblCellMar>
      </w:tblPr>
      <w:tblGrid>
        <w:gridCol w:w="1359"/>
        <w:gridCol w:w="1194"/>
        <w:gridCol w:w="1196"/>
        <w:gridCol w:w="301"/>
        <w:gridCol w:w="301"/>
        <w:gridCol w:w="748"/>
        <w:gridCol w:w="109"/>
        <w:gridCol w:w="109"/>
        <w:gridCol w:w="109"/>
        <w:gridCol w:w="301"/>
        <w:gridCol w:w="301"/>
        <w:gridCol w:w="748"/>
        <w:gridCol w:w="109"/>
        <w:gridCol w:w="109"/>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remaining lease term</w:t>
            </w:r>
          </w:p>
        </w:tc>
        <w:tc>
          <w:tcPr>
            <w:tcW w:w="135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 years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discount rate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maturities of operating lease liabilities as of July 31, 2025 (in millions):</w:t>
      </w:r>
    </w:p>
    <w:tbl>
      <w:tblPr>
        <w:tblW w:w="5255" w:type="dxa"/>
        <w:jc w:val="left"/>
        <w:tblInd w:w="0" w:type="dxa"/>
        <w:tblLayout w:type="fixed"/>
        <w:tblCellMar>
          <w:top w:w="28" w:type="dxa"/>
          <w:left w:w="28" w:type="dxa"/>
          <w:bottom w:w="28" w:type="dxa"/>
          <w:right w:w="28" w:type="dxa"/>
        </w:tblCellMar>
      </w:tblPr>
      <w:tblGrid>
        <w:gridCol w:w="1510"/>
        <w:gridCol w:w="1327"/>
        <w:gridCol w:w="1332"/>
        <w:gridCol w:w="226"/>
        <w:gridCol w:w="70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416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Fiscal years ending July 31:</w:t>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2026</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2027</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2029</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2031 and thereafter</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imputed interest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(76.5)</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Present value of operating lease liabilities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Current portion of operating lease liabilities</w:t>
            </w:r>
            <w:r>
              <w:rPr>
                <w:rFonts w:ascii="Montserrat;sans-serif" w:hAnsi="Montserrat;sans-serif"/>
                <w:b w:val="false"/>
                <w:color w:val="000000"/>
                <w:sz w:val="12"/>
              </w:rPr>
              <w:t>(1)</w:t>
            </w:r>
          </w:p>
        </w:tc>
        <w:tc>
          <w:tcPr>
            <w:tcW w:w="22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79.2 </w:t>
            </w:r>
          </w:p>
        </w:tc>
        <w:tc>
          <w:tcPr>
            <w:tcW w:w="154" w:type="dxa"/>
            <w:tcBorders>
              <w:top w:val="doub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Current portion of operating lease liabilities is included in accrued and other liabilities on our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additional non-cancelable operating leases for office space that had been signed but had not yet commenced with total future minimum lease payments of $36.4 million. These leases are expected to commence on or after fiscal 2026, with lease terms ranging from four to seven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94310"/>
                <wp:effectExtent l="0" t="0" r="0" b="0"/>
                <wp:wrapNone/>
                <wp:docPr id="85" name="Frame8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13. Commitments and Contingencies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agreements with cloud hosting service providers, under which we are committed to minimum or fixed purchases of certain cloud hosting services. In addition, in order to reduce manufacturing lead times and plan for adequate supply, we have entered into agreements with manufacturing partners and component suppliers to procure inventory based on our demand forecasts. Other purchase obligations include non-cancellable subscription agreements and other commitments in the normal course of business. The following table presents details of the aggregate future non-cancelable purchase commitments under these agreements as of July 31, 2025 (in millions):</w:t>
      </w:r>
    </w:p>
    <w:tbl>
      <w:tblPr>
        <w:tblW w:w="11853" w:type="dxa"/>
        <w:jc w:val="left"/>
        <w:tblInd w:w="0" w:type="dxa"/>
        <w:tblLayout w:type="fixed"/>
        <w:tblCellMar>
          <w:top w:w="28" w:type="dxa"/>
          <w:left w:w="28" w:type="dxa"/>
          <w:bottom w:w="28" w:type="dxa"/>
          <w:right w:w="28" w:type="dxa"/>
        </w:tblCellMar>
      </w:tblPr>
      <w:tblGrid>
        <w:gridCol w:w="520"/>
        <w:gridCol w:w="459"/>
        <w:gridCol w:w="462"/>
        <w:gridCol w:w="226"/>
        <w:gridCol w:w="886"/>
        <w:gridCol w:w="109"/>
        <w:gridCol w:w="109"/>
        <w:gridCol w:w="109"/>
        <w:gridCol w:w="109"/>
        <w:gridCol w:w="226"/>
        <w:gridCol w:w="706"/>
        <w:gridCol w:w="109"/>
        <w:gridCol w:w="109"/>
        <w:gridCol w:w="109"/>
        <w:gridCol w:w="109"/>
        <w:gridCol w:w="226"/>
        <w:gridCol w:w="70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09"/>
        <w:gridCol w:w="109"/>
        <w:gridCol w:w="226"/>
        <w:gridCol w:w="886"/>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Fiscal years ending July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2031 and Thereafter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Cloud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6,580.5 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774.1 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1,017.5 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2,497.8 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Manufacturing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2,497.8 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Additionally, we have a $119.0 million minimum purchase commitment with a cloud hosting service provider through September 2027 with no specified annual commitments.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Mutual Covenant Not to Sue and Release Agreement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January 2020, we executed a Mutual Covenant Not to Sue and Release Agreement for $50.0 million to extend an existing covenant not to sue for seven years. As the primary benefit of the arrangement was attributable to future use, the amount was recorded in other assets on our consolidated balance sheets and is amortized to cost of product revenue on our consolidated statements of operations over the estimated period of benefit of seven years.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Guarantee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October 2023, we established a multi-currency notional cash pool for a certain number of our entities with a third-party bank. As part of the notional cash pool agreement, the bank extends overdraft credit to our participating entities as needed, provided that the overall notionally pooled balance of all accounts in the pool at the end of each day is positive. In the unlikely event of a default, any overdraft balances incurred would be guaranteed by our collective entities participating in the pool.</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matters arose in the ordinary course of business.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Centripetal Networks,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March 12, 2021, Centripetal Networks, Inc.,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$151.5 million, plus statutory interest. After post-trial motions, a judgment was issued on October 3, 2024 affirming infringement on three patents, reversing infringement on the fourth patent, and subsequently, reducing the damages amount to $113.6 million. We posted a surety bond that was agreed upon by the parties and approved by the court. This bond prevents execution of the judgment while appeals are pending. In addition, Centripetal filed infringement contentions on certain of their patents in the European Patent Office and Unified Patent Court in Germany, to which we filed appropriate legal challenges. Those matters are still 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94310"/>
                <wp:effectExtent l="0" t="0" r="0" b="0"/>
                <wp:wrapNone/>
                <wp:docPr id="86" name="Frame8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2024, we accrued $184.4 million for the verdict amount and estimated interest. As of July 31, 2025, we accrued $145.6 million based on the judgment and estimated interest, which is recorded in other long-term liabilities on our consolidated balance sheets. The corresponding amount was a charge of $184.4 million for the year ended July 31, 2024, and a release of $38.8 million for the year ended July 31, 2025, which is included in general and administrative expense on our consolidated statements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Finjan,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November 4, 2014, Finjan, Inc., filed a lawsuit against us in the United States District Court for the Northern District of California. The lawsuit alleges that our products infringe multiple Finjan patents. The complaint requests injunctive relief, monetary damages, and attorneys’ fees. On March 21, 2025, the judge issued an order granting summary judgment of non-infringement on all remaining patents at issue. Plaintiff filed a Notice of Appeal on April 21, 2025. We are unable, at this time, to reasonably estimate a possible loss or potential range of loss, if any.</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Eire OG Innovations.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3, 2024, Eire OG Innovations filed a lawsuit against us in the United States District Court for the Eastern District of Texas asserting infringement of multiple patents, certain of which were subsequently dismissed. The complaint requests monetary damages and attorneys’ fees. Trial is set for February 17, 2026. We are unable, at this time, to reasonably estimate a possible loss or potential range of loss, if any.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Indemnification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or approved settlements attributable to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14. Stockholders’ Equity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 Repurchase Program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which is funded from available working capital. Our board of directors subsequently authorized additional increases to this share repurchase program, including $915.0 million in August 2022, $316.7 million in November 2023, and $500.0 million in August 2024, bringing the total authorization under this share repurchase program to $4.1 billion (our “current authorization”). The expiration date of our current authorization was extended to December 31, 2025, and our repurchase program may be suspended or discontinued at any time. Repurchases may be made at management’s discretion from time to time on the open market, through privately negotiated transactions, transactions structured through investment banking institutions, block purchase techniques, 10b5-1 trading plans, or a combination of the foregoing.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share repurchase activity under our share repurchase program (in millions, except per share amounts):</w:t>
      </w:r>
    </w:p>
    <w:tbl>
      <w:tblPr>
        <w:tblW w:w="6211" w:type="dxa"/>
        <w:jc w:val="left"/>
        <w:tblInd w:w="0" w:type="dxa"/>
        <w:tblLayout w:type="fixed"/>
        <w:tblCellMar>
          <w:top w:w="28" w:type="dxa"/>
          <w:left w:w="28" w:type="dxa"/>
          <w:bottom w:w="28" w:type="dxa"/>
          <w:right w:w="28" w:type="dxa"/>
        </w:tblCellMar>
      </w:tblPr>
      <w:tblGrid>
        <w:gridCol w:w="1239"/>
        <w:gridCol w:w="1087"/>
        <w:gridCol w:w="1093"/>
        <w:gridCol w:w="109"/>
        <w:gridCol w:w="109"/>
        <w:gridCol w:w="226"/>
        <w:gridCol w:w="826"/>
        <w:gridCol w:w="109"/>
        <w:gridCol w:w="109"/>
        <w:gridCol w:w="109"/>
        <w:gridCol w:w="109"/>
        <w:gridCol w:w="226"/>
        <w:gridCol w:w="70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341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Number of shares repurchased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 xml:space="preserve">Weighted-average price per share </w:t>
            </w:r>
            <w:r>
              <w:rPr>
                <w:rFonts w:ascii="Montserrat;sans-serif" w:hAnsi="Montserrat;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 xml:space="preserve">Aggregate purchase price </w:t>
            </w:r>
            <w:r>
              <w:rPr>
                <w:rFonts w:ascii="Montserrat;sans-serif" w:hAnsi="Montserrat;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250.0 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transaction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did not repurchase shares of our common stock during the year ended July 31, 2025. During the year ended July 31, 2023, we paid $22.7 million related to share repurchases of our common stock that were not settled as of July 31, 2022.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$1.0 billion remained available for future share repurchases under our current repurchase authorization. The total price of the shares repurchased and related transaction costs are reflected as a reduction to common stock and additional paid-in capital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94310"/>
                <wp:effectExtent l="0" t="0" r="0" b="0"/>
                <wp:wrapNone/>
                <wp:docPr id="87" name="Frame8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15. Equity Award Plans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 Plans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Equity Incentive Plans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2021 Equity Incentive Plan (our “2021 Plan”) became effective in December 2021 and replaced our 2012 Equity Incentive Plan (our “2012 Plan”). Our 2021 Plan provides for the granting of stock options, stock appreciation rights, restricted stock awards (“RSAs”), restricted stock units (“RSUs”), performance shares (“PSAs”), performance-based stock units (“PSUs”) and performance stock options (“PSOs”) to our employees, directors, and consultants. Upon effectiveness of the 2021 Plan, the 2012 Plan was terminated and no further awards will be granted under the 2012 Plan. Awards that were outstanding upon such termination remained outstanding pursuant to their original terms, and any subsequent expiration, cancellation or forfeiture of awards under our 2012 Plan are returned to our 2021 Plan.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equity awards are RSUs, which generally vest over a period of four years from the date of grant. Until vested, RSUs do not have the voting and dividend participation rights of common stock and the shares underlying the awards are not considered issued and outstanding.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PSUs generally vest over a period of one to four years from the date of grant. The number of PSUs eligible to vest is determined based on the level of achievement against certain performance conditions, market conditions, and a combination thereof.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2023, we granted 1.8 million shares of PSUs with both service and market conditions. The market conditions are satisfied when the price of our common stock is equal to or exceeds stock price targets of $116.67, $133.34, $150.00, and $166.67 based on the average closing price for 30 consecutive trading days during the three- or four-year period following the date of grant. Once a market condition is met, its corresponding one-fourth of the awards vest on each anniversary date of the grant date, subject to continued service. As of July 31, 2025, all stock price targets for these PSU awards have been met, and the related shares will vest when the underlying service conditions are satisfied.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2023, we granted 1.5 million shares of PSUs, which contain service and market conditions. The service conditions are satisfied after a period of five years. The market condition is measured based on our total shareholder return (“TSR”) relative to the TSR of the companies listed in the Standard &amp; Poor’s 500 index.</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2025, 2024, and 2023, we granted 3.4 million, 4.2 million, and 3.2 million shares of PSUs, respectively, which contain service, performance and market conditions. The service conditions are satisfied over a period of one to three years. For PSUs granted during the year ended July 31, 2025, the performance conditions are based on an average of next-generation security annualized recurring revenue and non-GAAP net income per diluted share. For PSUs granted during the years ended July 31, 2024 and 2023, the performance conditions are based on revenue growth or billing growth. The market condition is measured based on our TSR relative to the TSR of the companies listed in the Standard &amp; Poor’s 500 index. As of July 31, 2025, we have approved an additional 2.7 million shares of PSUs, which will be granted upon the performance condition being established during the next two years.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also granted PSOs with both service and market conditions. The market condition for PSOs granted in the fiscal years 2018 and 2019 requires the price of our common stock to equal or exceed $49.63, $66.17, $82.71, and $99.25 based on the average closing price for 30 consecutive trading days during the four-, five-, six-, and seven-and-a-half-year periods following the date of grant in fiscal year 2018 and 2019, respectively. Once a market condition is met, its corresponding one-fourth of the PSOs vest on each anniversary date of the grant date, subject to continued service. The maximum contractual term of our outstanding PSOs is seven and a half years from the date of grant, depending on vesting period. As of July 31, 2025, all of our outstanding PSOs have been fully vested.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net-share settle equity awards held by certain employees by withholding shares upon vesting to satisfy tax withholding obligations. The shares withheld to satisfy employee tax withholding obligations are returned to our 2021 Plan and will be available for future issuance. Payments for employees’ tax obligations to the tax authorities are recognized as a reduction to additional paid-in capital and reflected as financing activities on our consolidated statements of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total of 55.8 million shares of our common stock are reserved for issuance pursuant to our equity incentive plans as of July 31, 2025. </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2012 Employee Stock Purchase Plan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2012 Employee Stock Purchase Plan was adopted by our board of directors and approved by the stockholders on June 5, 2012, and was effective upon completion of our initial public offering. On August 29, 2017, we amended and restated our 2012 Employee Stock Purchase Plan (our “2012 ESPP”) to extend the length of our offering periods from 6 to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94310"/>
                <wp:effectExtent l="0" t="0" r="0" b="0"/>
                <wp:wrapNone/>
                <wp:docPr id="88" name="Frame8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3,750 shares per six-month purchase period and $25,000 worth of stock for each calendar year. Shares purchased under our 2012 ESPP during the fiscal years ended July 31, 2025, 2024 and 2023 were 1.9 million, 2.2 million and 2.3 million, at an average exercise price of $106.99 per share, $80.32 per share, and $69.15 per share,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total of 41.5 million shares of our common stock are available for sale under our 2012 ESPP as of July 31, 2025. On the first day of each fiscal year, the number of shares in the reserve may be increased by the lesser of (i) 12.0 million shares, (ii) 1% of the outstanding shares of our common stock on the first day of the fiscal year, or (iii) such other amount as determined by our board of directors.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Assumed Share-Based Compensation Plans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our acquisitions, we have assumed equity incentive plans of certain acquired companies (collectively “the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Assumed Plans. Refer to Note 8. Acquisitions for more information on our acquisitions and the related equity awards assumed.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 xml:space="preserve">Stock Option Activities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stock option and PSO activity under our stock plans during the years ended July 31, 2025, 2024, and 2023 (in millions, except per share amounts):</w:t>
      </w:r>
    </w:p>
    <w:tbl>
      <w:tblPr>
        <w:tblW w:w="14894" w:type="dxa"/>
        <w:jc w:val="left"/>
        <w:tblInd w:w="0" w:type="dxa"/>
        <w:tblLayout w:type="fixed"/>
        <w:tblCellMar>
          <w:top w:w="28" w:type="dxa"/>
          <w:left w:w="28" w:type="dxa"/>
          <w:bottom w:w="28" w:type="dxa"/>
          <w:right w:w="28" w:type="dxa"/>
        </w:tblCellMar>
      </w:tblPr>
      <w:tblGrid>
        <w:gridCol w:w="679"/>
        <w:gridCol w:w="320"/>
        <w:gridCol w:w="322"/>
        <w:gridCol w:w="275"/>
        <w:gridCol w:w="275"/>
        <w:gridCol w:w="276"/>
        <w:gridCol w:w="109"/>
        <w:gridCol w:w="109"/>
        <w:gridCol w:w="109"/>
        <w:gridCol w:w="445"/>
        <w:gridCol w:w="1155"/>
        <w:gridCol w:w="216"/>
        <w:gridCol w:w="109"/>
        <w:gridCol w:w="109"/>
        <w:gridCol w:w="109"/>
        <w:gridCol w:w="605"/>
        <w:gridCol w:w="605"/>
        <w:gridCol w:w="606"/>
        <w:gridCol w:w="109"/>
        <w:gridCol w:w="109"/>
        <w:gridCol w:w="109"/>
        <w:gridCol w:w="300"/>
        <w:gridCol w:w="620"/>
        <w:gridCol w:w="146"/>
        <w:gridCol w:w="109"/>
        <w:gridCol w:w="109"/>
        <w:gridCol w:w="109"/>
        <w:gridCol w:w="311"/>
        <w:gridCol w:w="275"/>
        <w:gridCol w:w="276"/>
        <w:gridCol w:w="109"/>
        <w:gridCol w:w="109"/>
        <w:gridCol w:w="109"/>
        <w:gridCol w:w="394"/>
        <w:gridCol w:w="1231"/>
        <w:gridCol w:w="191"/>
        <w:gridCol w:w="109"/>
        <w:gridCol w:w="109"/>
        <w:gridCol w:w="109"/>
        <w:gridCol w:w="605"/>
        <w:gridCol w:w="605"/>
        <w:gridCol w:w="606"/>
        <w:gridCol w:w="109"/>
        <w:gridCol w:w="109"/>
        <w:gridCol w:w="109"/>
        <w:gridCol w:w="226"/>
        <w:gridCol w:w="88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Stock Options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PSOs Outstanding </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Exercise Price Per Share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Remaining Contractual Term</w:t>
              <w:br/>
              <w:t>(Years)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Intrinsic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Exercise Price Per Share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Remaining Contractual Term</w:t>
              <w:br/>
              <w:t>(Years)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32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2022</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9.23 </w:t>
            </w:r>
          </w:p>
        </w:tc>
        <w:tc>
          <w:tcPr>
            <w:tcW w:w="21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20"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31"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32.42 </w:t>
            </w:r>
          </w:p>
        </w:tc>
        <w:tc>
          <w:tcPr>
            <w:tcW w:w="19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809.3 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2023</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2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3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32.60 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1,184.6 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2024</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2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3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32.66 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1,244.9 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Exercised</w:t>
            </w:r>
            <w:r>
              <w:rPr>
                <w:rFonts w:ascii="Montserrat;sans-serif" w:hAnsi="Montserrat;sans-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550"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2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3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19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Exercisable—July 31, 2025</w:t>
            </w:r>
          </w:p>
        </w:tc>
        <w:tc>
          <w:tcPr>
            <w:tcW w:w="5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1.3 million shares withheld by us to satisfy the exercise price and tax withholding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intrinsic value of options exercised during the years ended July 31, 2025, 2024, and 2023 was $1.2 billion, $358.5 million, and $237.7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94310"/>
                <wp:effectExtent l="0" t="0" r="0" b="0"/>
                <wp:wrapNone/>
                <wp:docPr id="89" name="Frame8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RSU and PSU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RSU and PSU activity under our stock plans during the years ended July 31, 2025, 2024, and 2023 (in millions, except per share amounts):</w:t>
      </w:r>
    </w:p>
    <w:tbl>
      <w:tblPr>
        <w:tblW w:w="10935" w:type="dxa"/>
        <w:jc w:val="left"/>
        <w:tblInd w:w="0" w:type="dxa"/>
        <w:tblLayout w:type="fixed"/>
        <w:tblCellMar>
          <w:top w:w="28" w:type="dxa"/>
          <w:left w:w="28" w:type="dxa"/>
          <w:bottom w:w="28" w:type="dxa"/>
          <w:right w:w="28" w:type="dxa"/>
        </w:tblCellMar>
      </w:tblPr>
      <w:tblGrid>
        <w:gridCol w:w="364"/>
        <w:gridCol w:w="320"/>
        <w:gridCol w:w="322"/>
        <w:gridCol w:w="326"/>
        <w:gridCol w:w="275"/>
        <w:gridCol w:w="276"/>
        <w:gridCol w:w="109"/>
        <w:gridCol w:w="109"/>
        <w:gridCol w:w="109"/>
        <w:gridCol w:w="353"/>
        <w:gridCol w:w="1292"/>
        <w:gridCol w:w="171"/>
        <w:gridCol w:w="109"/>
        <w:gridCol w:w="109"/>
        <w:gridCol w:w="109"/>
        <w:gridCol w:w="109"/>
        <w:gridCol w:w="109"/>
        <w:gridCol w:w="226"/>
        <w:gridCol w:w="886"/>
        <w:gridCol w:w="109"/>
        <w:gridCol w:w="109"/>
        <w:gridCol w:w="109"/>
        <w:gridCol w:w="109"/>
        <w:gridCol w:w="311"/>
        <w:gridCol w:w="275"/>
        <w:gridCol w:w="276"/>
        <w:gridCol w:w="109"/>
        <w:gridCol w:w="109"/>
        <w:gridCol w:w="109"/>
        <w:gridCol w:w="353"/>
        <w:gridCol w:w="1292"/>
        <w:gridCol w:w="171"/>
        <w:gridCol w:w="109"/>
        <w:gridCol w:w="109"/>
        <w:gridCol w:w="109"/>
        <w:gridCol w:w="109"/>
        <w:gridCol w:w="109"/>
        <w:gridCol w:w="226"/>
        <w:gridCol w:w="88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RSUs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3"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PSUs</w:t>
            </w:r>
          </w:p>
        </w:tc>
        <w:tc>
          <w:tcPr>
            <w:tcW w:w="1811" w:type="dxa"/>
            <w:gridSpan w:val="8"/>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Aggregate Intrinsic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Aggregate Intrinsic Value </w:t>
            </w:r>
          </w:p>
        </w:tc>
      </w:tr>
      <w:tr>
        <w:trPr/>
        <w:tc>
          <w:tcPr>
            <w:tcW w:w="1006"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2022</w:t>
            </w:r>
          </w:p>
        </w:tc>
        <w:tc>
          <w:tcPr>
            <w:tcW w:w="6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57.75 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2,456.9 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53.19 </w:t>
            </w:r>
          </w:p>
        </w:tc>
        <w:tc>
          <w:tcPr>
            <w:tcW w:w="171"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513.7 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6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55.47 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56.36 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2023</w:t>
            </w:r>
          </w:p>
        </w:tc>
        <w:tc>
          <w:tcPr>
            <w:tcW w:w="6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24.1 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71.30 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3,013.0 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64.32 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1,242.3 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6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68.63 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2024</w:t>
            </w:r>
          </w:p>
        </w:tc>
        <w:tc>
          <w:tcPr>
            <w:tcW w:w="601"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102.59 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2,924.4 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10.0 </w:t>
            </w:r>
          </w:p>
        </w:tc>
        <w:tc>
          <w:tcPr>
            <w:tcW w:w="27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77.95 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1,624.2 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6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97.00 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64.65 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601"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143.33 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2,284.7 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9.4 </w:t>
            </w:r>
          </w:p>
        </w:tc>
        <w:tc>
          <w:tcPr>
            <w:tcW w:w="27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140.92 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1,635.4 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For PSUs, shares granted represent the aggregate maximum number of shares that may be earned and issued with respect to these awards over their full terms.</w:t>
      </w:r>
    </w:p>
    <w:p>
      <w:pPr>
        <w:pStyle w:val="TextBody"/>
        <w:bidi w:val="0"/>
        <w:spacing w:lineRule="auto" w:line="288" w:before="80" w:after="80"/>
        <w:ind w:left="0" w:right="0" w:hanging="216"/>
        <w:jc w:val="left"/>
        <w:rPr/>
      </w:pPr>
      <w:r>
        <w:rPr>
          <w:rFonts w:ascii="Montserrat;sans-serif" w:hAnsi="Montserrat;sans-serif"/>
          <w:b w:val="false"/>
          <w:color w:val="000000"/>
          <w:sz w:val="10"/>
        </w:rPr>
        <w:t>(2)</w:t>
      </w:r>
      <w:r>
        <w:rPr>
          <w:rFonts w:ascii="Montserrat;sans-serif" w:hAnsi="Montserrat;sans-serif"/>
          <w:b w:val="false"/>
          <w:color w:val="000000"/>
          <w:sz w:val="16"/>
        </w:rPr>
        <w:t>Includes time-based vesting for PSUs.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aggregate fair value, as of the respective vesting dates, of RSUs vested during the years ended July 31, 2025, 2024, and 2023 was $1.6 billion, $1.6 billion, and $1.3 billion, respectively. The aggregate fair value, as of the respective vesting dates, of PSUs vested during the years ended July 31, 2025, 2024, and 2023 was $220.7 million, $377.7 million, and $218.9 million,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Shares Available for Grant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stock activity and the total number of shares available for grant under our equity incentive plans as of July 31, 2025 (in millions):</w:t>
      </w:r>
    </w:p>
    <w:tbl>
      <w:tblPr>
        <w:tblW w:w="4214" w:type="dxa"/>
        <w:jc w:val="left"/>
        <w:tblInd w:w="0" w:type="dxa"/>
        <w:tblLayout w:type="fixed"/>
        <w:tblCellMar>
          <w:top w:w="28" w:type="dxa"/>
          <w:left w:w="28" w:type="dxa"/>
          <w:bottom w:w="28" w:type="dxa"/>
          <w:right w:w="28" w:type="dxa"/>
        </w:tblCellMar>
      </w:tblPr>
      <w:tblGrid>
        <w:gridCol w:w="874"/>
        <w:gridCol w:w="768"/>
        <w:gridCol w:w="772"/>
        <w:gridCol w:w="527"/>
        <w:gridCol w:w="527"/>
        <w:gridCol w:w="746"/>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Number of shares</w:t>
            </w:r>
          </w:p>
        </w:tc>
      </w:tr>
      <w:tr>
        <w:trPr/>
        <w:tc>
          <w:tcPr>
            <w:tcW w:w="241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2024</w:t>
            </w:r>
          </w:p>
        </w:tc>
        <w:tc>
          <w:tcPr>
            <w:tcW w:w="1054"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74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Authorized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RSUs and PSUs granted</w:t>
            </w:r>
          </w:p>
        </w:tc>
        <w:tc>
          <w:tcPr>
            <w:tcW w:w="105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w:t>
            </w:r>
          </w:p>
        </w:tc>
        <w:tc>
          <w:tcPr>
            <w:tcW w:w="7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RSUs and PSUs forfeited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Shares withheld for taxes</w:t>
            </w:r>
          </w:p>
        </w:tc>
        <w:tc>
          <w:tcPr>
            <w:tcW w:w="105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7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10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29.3 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record share-based compensation awards based on estimated fair value as of the grant date. The fair value of RSUs and PSUs not subject to market conditions is based on the closing market price of our common stock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94310"/>
                <wp:effectExtent l="0" t="0" r="0" b="0"/>
                <wp:wrapNone/>
                <wp:docPr id="90" name="Frame8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years ended July 31, 2025, 2024, and 2023:</w:t>
      </w:r>
    </w:p>
    <w:tbl>
      <w:tblPr>
        <w:tblW w:w="9006" w:type="dxa"/>
        <w:jc w:val="left"/>
        <w:tblInd w:w="0" w:type="dxa"/>
        <w:tblLayout w:type="fixed"/>
        <w:tblCellMar>
          <w:top w:w="28" w:type="dxa"/>
          <w:left w:w="28" w:type="dxa"/>
          <w:bottom w:w="28" w:type="dxa"/>
          <w:right w:w="28" w:type="dxa"/>
        </w:tblCellMar>
      </w:tblPr>
      <w:tblGrid>
        <w:gridCol w:w="1047"/>
        <w:gridCol w:w="919"/>
        <w:gridCol w:w="929"/>
        <w:gridCol w:w="408"/>
        <w:gridCol w:w="408"/>
        <w:gridCol w:w="1028"/>
        <w:gridCol w:w="109"/>
        <w:gridCol w:w="109"/>
        <w:gridCol w:w="109"/>
        <w:gridCol w:w="408"/>
        <w:gridCol w:w="408"/>
        <w:gridCol w:w="1028"/>
        <w:gridCol w:w="109"/>
        <w:gridCol w:w="109"/>
        <w:gridCol w:w="109"/>
        <w:gridCol w:w="357"/>
        <w:gridCol w:w="357"/>
        <w:gridCol w:w="1055"/>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28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8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43.5% - 47.6%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40.8% - 43.4%</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38.3% - 44.8%</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0.9 - 2.9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1.0 - 5.0</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8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3.7% - 4.5%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4.4% - 5.3%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3.2% - 4.1%</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84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$264.51 - $305.83</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$173.46 - $310.61</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$45.89 - $140.21</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expected volatility is based on the historical volatility of our common stock. The expected term is based on the length of each tranche’s performance period from the grant date. The dividend yield assumption is based on our current expectations about our anticipated dividend policy. The risk-free interest rate is based on the implied yield available on U.S. Treasury zero-coupon issues with maturities that approximate the expected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fair value of PSOs was estimated on the grant date using a Monte Carlo simulation model, which predicts settlement of the PSOs midway between the vesting term and the contractual term. No PSOs were granted during the years ended July 31, 2025, 2024, and 2023.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shares issued under our 2012 ESPP are estimated on the grant date using the Black-Scholes option pricing model. The following table summarizes the assumptions used and the resulting grant-date fair values of our ESPP:</w:t>
      </w:r>
    </w:p>
    <w:tbl>
      <w:tblPr>
        <w:tblW w:w="8408" w:type="dxa"/>
        <w:jc w:val="left"/>
        <w:tblInd w:w="0" w:type="dxa"/>
        <w:tblLayout w:type="fixed"/>
        <w:tblCellMar>
          <w:top w:w="28" w:type="dxa"/>
          <w:left w:w="28" w:type="dxa"/>
          <w:bottom w:w="28" w:type="dxa"/>
          <w:right w:w="28" w:type="dxa"/>
        </w:tblCellMar>
      </w:tblPr>
      <w:tblGrid>
        <w:gridCol w:w="1047"/>
        <w:gridCol w:w="919"/>
        <w:gridCol w:w="929"/>
        <w:gridCol w:w="355"/>
        <w:gridCol w:w="355"/>
        <w:gridCol w:w="895"/>
        <w:gridCol w:w="109"/>
        <w:gridCol w:w="109"/>
        <w:gridCol w:w="109"/>
        <w:gridCol w:w="355"/>
        <w:gridCol w:w="355"/>
        <w:gridCol w:w="895"/>
        <w:gridCol w:w="109"/>
        <w:gridCol w:w="109"/>
        <w:gridCol w:w="109"/>
        <w:gridCol w:w="333"/>
        <w:gridCol w:w="333"/>
        <w:gridCol w:w="983"/>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28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60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34.3% - 43.3%</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39.6% - 50.0%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38.6% - 44.7%</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7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3.9% - 4.8%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4.6% - 5.5%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3.3% - 5.2%</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60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$45.43 - $74.81</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$32.81 - $66.66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$24.39 - $37.03</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expected volatility is based on a combination of implied volatility from traded options on our common stock and the historical volatility of our common stock. The expected term represents the term from the first day of the offering period to the purchase dates within each offering period. The dividend yield assumption is based on our current expectations about our anticipated dividend policy. The risk-free interest rate is based on the implied yield available on U.S. Treasury zero-coupon issues with maturities that approximate the expected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share-based compensation included in costs and expenses (in millions):</w:t>
      </w:r>
    </w:p>
    <w:tbl>
      <w:tblPr>
        <w:tblW w:w="8291" w:type="dxa"/>
        <w:jc w:val="left"/>
        <w:tblInd w:w="0" w:type="dxa"/>
        <w:tblLayout w:type="fixed"/>
        <w:tblCellMar>
          <w:top w:w="28" w:type="dxa"/>
          <w:left w:w="28" w:type="dxa"/>
          <w:bottom w:w="28" w:type="dxa"/>
          <w:right w:w="28" w:type="dxa"/>
        </w:tblCellMar>
      </w:tblPr>
      <w:tblGrid>
        <w:gridCol w:w="1423"/>
        <w:gridCol w:w="1249"/>
        <w:gridCol w:w="1257"/>
        <w:gridCol w:w="226"/>
        <w:gridCol w:w="886"/>
        <w:gridCol w:w="109"/>
        <w:gridCol w:w="109"/>
        <w:gridCol w:w="109"/>
        <w:gridCol w:w="109"/>
        <w:gridCol w:w="226"/>
        <w:gridCol w:w="886"/>
        <w:gridCol w:w="109"/>
        <w:gridCol w:w="109"/>
        <w:gridCol w:w="109"/>
        <w:gridCol w:w="109"/>
        <w:gridCol w:w="226"/>
        <w:gridCol w:w="88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392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550.5 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525.5 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488.4 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total compensation cost related to unvested share-based awards not yet recognized was $2.2 billion. This cost is expected to be amortized over a weighted-average period of approximately 2.5 years. Future grants will increase the amount of compensation expense to be recorded in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94310"/>
                <wp:effectExtent l="0" t="0" r="0" b="0"/>
                <wp:wrapNone/>
                <wp:docPr id="91" name="Frame9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16.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components of income before income taxes (in millions):</w:t>
      </w:r>
    </w:p>
    <w:tbl>
      <w:tblPr>
        <w:tblW w:w="5352" w:type="dxa"/>
        <w:jc w:val="left"/>
        <w:tblInd w:w="0" w:type="dxa"/>
        <w:tblLayout w:type="fixed"/>
        <w:tblCellMar>
          <w:top w:w="28" w:type="dxa"/>
          <w:left w:w="28" w:type="dxa"/>
          <w:bottom w:w="28" w:type="dxa"/>
          <w:right w:w="28" w:type="dxa"/>
        </w:tblCellMar>
      </w:tblPr>
      <w:tblGrid>
        <w:gridCol w:w="489"/>
        <w:gridCol w:w="429"/>
        <w:gridCol w:w="432"/>
        <w:gridCol w:w="226"/>
        <w:gridCol w:w="886"/>
        <w:gridCol w:w="109"/>
        <w:gridCol w:w="109"/>
        <w:gridCol w:w="109"/>
        <w:gridCol w:w="109"/>
        <w:gridCol w:w="226"/>
        <w:gridCol w:w="706"/>
        <w:gridCol w:w="109"/>
        <w:gridCol w:w="109"/>
        <w:gridCol w:w="109"/>
        <w:gridCol w:w="109"/>
        <w:gridCol w:w="226"/>
        <w:gridCol w:w="70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0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1350"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1,124.9 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669.2 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374.3 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1,595.7 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566.3 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provision for (benefit from) income taxes (in millions):</w:t>
      </w:r>
    </w:p>
    <w:tbl>
      <w:tblPr>
        <w:tblW w:w="4993" w:type="dxa"/>
        <w:jc w:val="left"/>
        <w:tblInd w:w="0" w:type="dxa"/>
        <w:tblLayout w:type="fixed"/>
        <w:tblCellMar>
          <w:top w:w="28" w:type="dxa"/>
          <w:left w:w="28" w:type="dxa"/>
          <w:bottom w:w="28" w:type="dxa"/>
          <w:right w:w="28" w:type="dxa"/>
        </w:tblCellMar>
      </w:tblPr>
      <w:tblGrid>
        <w:gridCol w:w="337"/>
        <w:gridCol w:w="285"/>
        <w:gridCol w:w="279"/>
        <w:gridCol w:w="226"/>
        <w:gridCol w:w="706"/>
        <w:gridCol w:w="109"/>
        <w:gridCol w:w="109"/>
        <w:gridCol w:w="109"/>
        <w:gridCol w:w="109"/>
        <w:gridCol w:w="226"/>
        <w:gridCol w:w="976"/>
        <w:gridCol w:w="109"/>
        <w:gridCol w:w="109"/>
        <w:gridCol w:w="109"/>
        <w:gridCol w:w="109"/>
        <w:gridCol w:w="226"/>
        <w:gridCol w:w="70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90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(300.2)</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311.7 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w:t>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(2,172.7)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the year ended July 31, 2025, our provision for income taxes was $461.8 million, which included a deferred tax provision of $218.5 million arising from the remeasurement of our basis difference associated with the U.S. tax effects of foreign deferred tax assets. Our remeasurement is a result of the One Big Beautiful Bill Act ("OBBB") enacted on July 4, 2025 which provides for significant tax law changes and modifications including changes to the U.S. effective tax rates on certain foreign earnings. Although these specific provisions are not effective until our fiscal 2027, our policy to account for basis differences relating to our global intangible low-taxed income requires us to account for these changes in the period of enactment.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year ended July 31, 2024, our benefit from income taxes was $1.6 billion, primarily due to the release of our valuation allowance on U.S. federal, U.S. states other than California, and United Kingdom (“U.K.”) deferred tax assets, partially offset by the deferred tax provision in our U.S. federal tax provision to recognize the indirect effect on basis differences relating to our global intangible low-taxed income in connection with the release of our valuation allowance in the U.K.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items accounting for the difference between income taxes computed at the federal statutory income tax rate and our provision for (benefit from) income taxes:</w:t>
      </w:r>
    </w:p>
    <w:tbl>
      <w:tblPr>
        <w:tblW w:w="7501" w:type="dxa"/>
        <w:jc w:val="left"/>
        <w:tblInd w:w="0" w:type="dxa"/>
        <w:tblLayout w:type="fixed"/>
        <w:tblCellMar>
          <w:top w:w="28" w:type="dxa"/>
          <w:left w:w="28" w:type="dxa"/>
          <w:bottom w:w="28" w:type="dxa"/>
          <w:right w:w="28" w:type="dxa"/>
        </w:tblCellMar>
      </w:tblPr>
      <w:tblGrid>
        <w:gridCol w:w="1361"/>
        <w:gridCol w:w="1197"/>
        <w:gridCol w:w="1206"/>
        <w:gridCol w:w="293"/>
        <w:gridCol w:w="293"/>
        <w:gridCol w:w="326"/>
        <w:gridCol w:w="109"/>
        <w:gridCol w:w="109"/>
        <w:gridCol w:w="109"/>
        <w:gridCol w:w="397"/>
        <w:gridCol w:w="398"/>
        <w:gridCol w:w="326"/>
        <w:gridCol w:w="109"/>
        <w:gridCol w:w="109"/>
        <w:gridCol w:w="109"/>
        <w:gridCol w:w="337"/>
        <w:gridCol w:w="338"/>
        <w:gridCol w:w="375"/>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7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376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 statutory rate</w:t>
            </w:r>
          </w:p>
        </w:tc>
        <w:tc>
          <w:tcPr>
            <w:tcW w:w="58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w:t>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w:t>
            </w:r>
          </w:p>
        </w:tc>
        <w:tc>
          <w:tcPr>
            <w:tcW w:w="3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w:t>
            </w:r>
          </w:p>
        </w:tc>
        <w:tc>
          <w:tcPr>
            <w:tcW w:w="375"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w:t>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State taxes, net of federal tax benefit</w:t>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2.8 </w:t>
            </w:r>
          </w:p>
        </w:tc>
        <w:tc>
          <w:tcPr>
            <w:tcW w:w="3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Non-U.S. operations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valuation allowance</w:t>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(341.9)</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15.5 </w:t>
            </w:r>
          </w:p>
        </w:tc>
        <w:tc>
          <w:tcPr>
            <w:tcW w:w="3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U.S. effect of foreign deferred tax assets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175.8 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w:t>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w:t>
            </w:r>
          </w:p>
        </w:tc>
        <w:tc>
          <w:tcPr>
            <w:tcW w:w="3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 credits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Non-deductible expenses</w:t>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32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3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586"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3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(160.8)</w:t>
            </w:r>
          </w:p>
        </w:tc>
        <w:tc>
          <w:tcPr>
            <w:tcW w:w="3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22.4 </w:t>
            </w:r>
          </w:p>
        </w:tc>
        <w:tc>
          <w:tcPr>
            <w:tcW w:w="375"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94310"/>
                <wp:effectExtent l="0" t="0" r="0" b="0"/>
                <wp:wrapNone/>
                <wp:docPr id="92" name="Frame9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components of our deferred tax assets and liabilities as of July 31, 2025 and 2024 (in millions):</w:t>
      </w:r>
    </w:p>
    <w:tbl>
      <w:tblPr>
        <w:tblW w:w="6578" w:type="dxa"/>
        <w:jc w:val="left"/>
        <w:tblInd w:w="0" w:type="dxa"/>
        <w:tblLayout w:type="fixed"/>
        <w:tblCellMar>
          <w:top w:w="28" w:type="dxa"/>
          <w:left w:w="28" w:type="dxa"/>
          <w:bottom w:w="28" w:type="dxa"/>
          <w:right w:w="28" w:type="dxa"/>
        </w:tblCellMar>
      </w:tblPr>
      <w:tblGrid>
        <w:gridCol w:w="1363"/>
        <w:gridCol w:w="1197"/>
        <w:gridCol w:w="1204"/>
        <w:gridCol w:w="226"/>
        <w:gridCol w:w="886"/>
        <w:gridCol w:w="109"/>
        <w:gridCol w:w="109"/>
        <w:gridCol w:w="109"/>
        <w:gridCol w:w="109"/>
        <w:gridCol w:w="226"/>
        <w:gridCol w:w="88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22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Accruals and reserves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liabilities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operating loss carryforwards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585.2 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 credits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Capitalized research expenditures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895.4 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626.6 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Fixed assets and intangible assets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1,631.7 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deferred tax assets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Valuation allowance</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(278.1)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(243.4)</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deferred tax assets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4,098.2 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U.S. effect of foreign deferred tax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(108.2)</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(115.8)</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deferred tax liabilities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deferred tax liabilities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deferred tax assets (liabilities)</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2,334.9 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2,011.3 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The assessment requires significant judgment and is performed for each of the applicable jurisdictions. Based on our analysis of all positive and negative evidence during the year ended July 31, 2025, we continue to maintain a valuation allowance for our California deferred tax assets due to the uncertainty regarding realizability of these deferred tax assets as they have not met the “more likely than not” realization criterion. We expect future research and development tax credit generation in California to exceed our ability to use the existing tax credits.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U.S. federal and state deferred tax assets largely consist of capitalized research expenditures and accelerated recognition of deferred revenue for tax purposes. U.S. tax carryforwards (including net operating losses and tax credits) are expected to be fully utilized to the extent allowable by law. Our U.K. deferred tax assets largely consist of basis differences in intangible assets and related net operating losses expected to be utilized in the future.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federal, state, and foreign net operating loss carryforwards of approximately $129.1 million, $112.8 million, and $2.3 billion, respectively, as reported on our tax returns, available to reduce future taxable income, if any. If not utilized, our federal and state net operating loss carryforwards will expire in various amounts at various dates beginning in the years ending July 31, 2034 and July 31, 2030, respectively. Our foreign net operating loss will carry forward indefinitely.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federal and state research and development tax credit carryforwards of approximately $2.0 million and $340.2 million, respectively, as reported on our tax returns. If not utilized, the federal credit carryforwards will expire in various amounts at various dates beginning in the year ending July 31, 2040. The state credit carryforwards have no expiration.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foreign tax credit carryforwards of $1.7 million as reported on our tax returns. If not utilized, the foreign tax credit carryforwards will expire in various amounts at various dates beginning in the year ending July 31, 2029.</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94310"/>
                <wp:effectExtent l="0" t="0" r="0" b="0"/>
                <wp:wrapNone/>
                <wp:docPr id="93" name="Frame9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$572.2 million of unrecognized tax benefits, $274.8 million of which would affect income tax expense if recognized, after consideration of our valuation allowance in California and other assets. As of July 31, 2024, we had $454.4 million of unrecognized tax benefits, $200.1 million of which would affect income tax expense if recognized, after consideration of our valuation allowance in the United States and other assets. We do not expect the amount of unrecognized tax benefits as of July 31, 2025 to materially change over the next 12 months.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file federal, state, and foreign income tax returns in jurisdictions with varying statutes of limitations. Generally, all years remain subject to adjustment due to our net operating loss and credit carryforwards. We currently have ongoing tax audits in various jurisdictions and at various times. The primary focus of these audits is, generally, profit allocation. The ultimate amount and timing of any future settlements cannot be predicted with reasonable certainty.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recognize both interest and penalties associated with uncertain tax positions as a component of income tax expense. During the years ended July 31, 2025, 2024, and 2023, we recognized an income tax expense of $42.4 million, an income tax expense of $5.8 million, and a net income tax benefit of $4.8 million related to interest and penalties, respectively. We had accrued interest and penalties on our consolidated balance sheets related to unrecognized tax benefits of $53.3 million and $10.9 million as of July 31, 2025 and 2024, respectively.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the beginning and ending amount of our gross unrecognized tax benefits (in millions):</w:t>
      </w:r>
    </w:p>
    <w:tbl>
      <w:tblPr>
        <w:tblW w:w="9117" w:type="dxa"/>
        <w:jc w:val="left"/>
        <w:tblInd w:w="0" w:type="dxa"/>
        <w:tblLayout w:type="fixed"/>
        <w:tblCellMar>
          <w:top w:w="28" w:type="dxa"/>
          <w:left w:w="28" w:type="dxa"/>
          <w:bottom w:w="28" w:type="dxa"/>
          <w:right w:w="28" w:type="dxa"/>
        </w:tblCellMar>
      </w:tblPr>
      <w:tblGrid>
        <w:gridCol w:w="1919"/>
        <w:gridCol w:w="1686"/>
        <w:gridCol w:w="1690"/>
        <w:gridCol w:w="226"/>
        <w:gridCol w:w="706"/>
        <w:gridCol w:w="109"/>
        <w:gridCol w:w="109"/>
        <w:gridCol w:w="109"/>
        <w:gridCol w:w="109"/>
        <w:gridCol w:w="226"/>
        <w:gridCol w:w="706"/>
        <w:gridCol w:w="109"/>
        <w:gridCol w:w="109"/>
        <w:gridCol w:w="109"/>
        <w:gridCol w:w="109"/>
        <w:gridCol w:w="226"/>
        <w:gridCol w:w="70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2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5295"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Unrecognized tax benefits at the beginning of the period</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454.4 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360.0 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414.0 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Additions for tax positions taken in prior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Reductions for tax positions taken in prior years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(99.8)</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Additions for tax positions taken in the current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relating to audit settlement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Unrecognized tax benefits at the end of the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2025 and 2024, increases in uncertain tax positions were primarily due to our credits and incentives and intercompany transactions.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2025, we had no unremitted earnings when evaluating our outside basis difference relating to our U.S. investment in foreign subsidiaries. However, there could be local withholding taxes due to various foreign countries if certain lower tier earnings are distributed. Withholding taxes that would be payable upon remittance of these lower tier earnings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17. Net Income Per Share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Basic net income per share is computed by dividing net income by basic weighted-average shares outstanding during the period. Diluted net income per share is computed by dividing net income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computation of basic and diluted net income per share of common stock (in millions, except per share data):</w:t>
      </w:r>
    </w:p>
    <w:tbl>
      <w:tblPr>
        <w:tblW w:w="10205" w:type="dxa"/>
        <w:jc w:val="left"/>
        <w:tblInd w:w="0" w:type="dxa"/>
        <w:tblLayout w:type="fixed"/>
        <w:tblCellMar>
          <w:top w:w="28" w:type="dxa"/>
          <w:left w:w="28" w:type="dxa"/>
          <w:bottom w:w="28" w:type="dxa"/>
          <w:right w:w="28" w:type="dxa"/>
        </w:tblCellMar>
      </w:tblPr>
      <w:tblGrid>
        <w:gridCol w:w="2180"/>
        <w:gridCol w:w="1910"/>
        <w:gridCol w:w="1931"/>
        <w:gridCol w:w="226"/>
        <w:gridCol w:w="886"/>
        <w:gridCol w:w="109"/>
        <w:gridCol w:w="109"/>
        <w:gridCol w:w="109"/>
        <w:gridCol w:w="109"/>
        <w:gridCol w:w="226"/>
        <w:gridCol w:w="886"/>
        <w:gridCol w:w="109"/>
        <w:gridCol w:w="109"/>
        <w:gridCol w:w="109"/>
        <w:gridCol w:w="109"/>
        <w:gridCol w:w="226"/>
        <w:gridCol w:w="706"/>
        <w:gridCol w:w="156"/>
      </w:tblGrid>
      <w:tr>
        <w:trPr/>
        <w:tc>
          <w:tcPr>
            <w:tcW w:w="218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41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602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6021"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1,133.9 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2,577.6 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439.7 </w:t>
            </w:r>
          </w:p>
        </w:tc>
        <w:tc>
          <w:tcPr>
            <w:tcW w:w="15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606.4</w:t>
            </w:r>
          </w:p>
        </w:tc>
      </w:tr>
      <w:tr>
        <w:trPr/>
        <w:tc>
          <w:tcPr>
            <w:tcW w:w="60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effect of potentially dilutive securities:</w:t>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Warrants related to the issuance of convertible senior notes</w:t>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709.3 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707.9 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684.5</w:t>
            </w:r>
          </w:p>
        </w:tc>
      </w:tr>
      <w:tr>
        <w:trPr/>
        <w:tc>
          <w:tcPr>
            <w:tcW w:w="6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0.73 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2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09"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09"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0.64 </w:t>
            </w:r>
          </w:p>
        </w:tc>
        <w:tc>
          <w:tcPr>
            <w:tcW w:w="156" w:type="dxa"/>
            <w:tcBorders>
              <w:top w:val="doub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94310"/>
                <wp:effectExtent l="0" t="0" r="0" b="0"/>
                <wp:wrapNone/>
                <wp:docPr id="94" name="Frame9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securities were excluded from the computation of diluted net income per share of common stock as their effect would have been antidilutive or issuance of such shares is contingent upon the satisfaction of certain conditions which were not satisfied by the end of the applicable period (in millions):</w:t>
      </w:r>
    </w:p>
    <w:tbl>
      <w:tblPr>
        <w:tblW w:w="5874" w:type="dxa"/>
        <w:jc w:val="left"/>
        <w:tblInd w:w="0" w:type="dxa"/>
        <w:tblLayout w:type="fixed"/>
        <w:tblCellMar>
          <w:top w:w="28" w:type="dxa"/>
          <w:left w:w="28" w:type="dxa"/>
          <w:bottom w:w="28" w:type="dxa"/>
          <w:right w:w="28" w:type="dxa"/>
        </w:tblCellMar>
      </w:tblPr>
      <w:tblGrid>
        <w:gridCol w:w="1107"/>
        <w:gridCol w:w="973"/>
        <w:gridCol w:w="979"/>
        <w:gridCol w:w="233"/>
        <w:gridCol w:w="233"/>
        <w:gridCol w:w="196"/>
        <w:gridCol w:w="127"/>
        <w:gridCol w:w="127"/>
        <w:gridCol w:w="127"/>
        <w:gridCol w:w="233"/>
        <w:gridCol w:w="233"/>
        <w:gridCol w:w="196"/>
        <w:gridCol w:w="127"/>
        <w:gridCol w:w="127"/>
        <w:gridCol w:w="127"/>
        <w:gridCol w:w="233"/>
        <w:gridCol w:w="233"/>
        <w:gridCol w:w="263"/>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9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196"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7.7 </w:t>
            </w:r>
          </w:p>
        </w:tc>
        <w:tc>
          <w:tcPr>
            <w:tcW w:w="263"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18. Other Income,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the components of other income, net (in millions):</w:t>
      </w:r>
    </w:p>
    <w:tbl>
      <w:tblPr>
        <w:tblW w:w="8126" w:type="dxa"/>
        <w:jc w:val="left"/>
        <w:tblInd w:w="0" w:type="dxa"/>
        <w:tblLayout w:type="fixed"/>
        <w:tblCellMar>
          <w:top w:w="28" w:type="dxa"/>
          <w:left w:w="28" w:type="dxa"/>
          <w:bottom w:w="28" w:type="dxa"/>
          <w:right w:w="28" w:type="dxa"/>
        </w:tblCellMar>
      </w:tblPr>
      <w:tblGrid>
        <w:gridCol w:w="1557"/>
        <w:gridCol w:w="1371"/>
        <w:gridCol w:w="1376"/>
        <w:gridCol w:w="226"/>
        <w:gridCol w:w="706"/>
        <w:gridCol w:w="109"/>
        <w:gridCol w:w="109"/>
        <w:gridCol w:w="109"/>
        <w:gridCol w:w="109"/>
        <w:gridCol w:w="226"/>
        <w:gridCol w:w="706"/>
        <w:gridCol w:w="109"/>
        <w:gridCol w:w="109"/>
        <w:gridCol w:w="109"/>
        <w:gridCol w:w="109"/>
        <w:gridCol w:w="226"/>
        <w:gridCol w:w="706"/>
        <w:gridCol w:w="154"/>
      </w:tblGrid>
      <w:tr>
        <w:trPr/>
        <w:tc>
          <w:tcPr>
            <w:tcW w:w="15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r>
      <w:tr>
        <w:trPr/>
        <w:tc>
          <w:tcPr>
            <w:tcW w:w="430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income</w:t>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363.5 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317.9 </w:t>
            </w:r>
          </w:p>
        </w:tc>
        <w:tc>
          <w:tcPr>
            <w:tcW w:w="109"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224.4 </w:t>
            </w:r>
          </w:p>
        </w:tc>
        <w:tc>
          <w:tcPr>
            <w:tcW w:w="154" w:type="dxa"/>
            <w:tcBorders>
              <w:top w:val="single" w:sz="8" w:space="0" w:color="000000"/>
            </w:tcBorders>
            <w:shd w:fill="E3E3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exchange gains (losses),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income,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19. Segment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one operating and reportable segment. We conduct business globally and sales are primarily managed on a geographic theater basis. Our chief operating decision maker (“CODM”) is our Chairman and Chief Executive Officer who reviews financial information presented on a consolidated basis accompanied by revenue information for purposes of allocating resources and evaluating financial performance. Our CODM uses consolidated net income as our measure of segment profit or loss. The consolidated financial information by function as reflected on our consolidated statements of operations is used in our annual budget and forecasting process to establish goals and monitor budget versus actual results. The measure of segment assets is reported on the consolidated balance sheets as total consolidated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our long-lived assets, which consist of property and equipment, net and operating lease right-of-use assets, by geographic area (in millions):</w:t>
      </w:r>
    </w:p>
    <w:tbl>
      <w:tblPr>
        <w:tblW w:w="4553" w:type="dxa"/>
        <w:jc w:val="left"/>
        <w:tblInd w:w="0" w:type="dxa"/>
        <w:tblLayout w:type="fixed"/>
        <w:tblCellMar>
          <w:top w:w="28" w:type="dxa"/>
          <w:left w:w="28" w:type="dxa"/>
          <w:bottom w:w="28" w:type="dxa"/>
          <w:right w:w="28" w:type="dxa"/>
        </w:tblCellMar>
      </w:tblPr>
      <w:tblGrid>
        <w:gridCol w:w="761"/>
        <w:gridCol w:w="667"/>
        <w:gridCol w:w="671"/>
        <w:gridCol w:w="226"/>
        <w:gridCol w:w="706"/>
        <w:gridCol w:w="109"/>
        <w:gridCol w:w="109"/>
        <w:gridCol w:w="109"/>
        <w:gridCol w:w="109"/>
        <w:gridCol w:w="226"/>
        <w:gridCol w:w="70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209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Long-lived assets:</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Israel</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141.1 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countries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long-lived assets</w:t>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734.3 </w:t>
            </w:r>
          </w:p>
        </w:tc>
        <w:tc>
          <w:tcPr>
            <w:tcW w:w="109"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747.0 </w:t>
            </w:r>
          </w:p>
        </w:tc>
        <w:tc>
          <w:tcPr>
            <w:tcW w:w="154" w:type="dxa"/>
            <w:tcBorders>
              <w:top w:val="single" w:sz="8" w:space="0" w:color="000000"/>
              <w:bottom w:val="double" w:sz="8" w:space="0" w:color="000000"/>
            </w:tcBorders>
            <w:shd w:fill="E3E3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Note 2. Revenue for revenue by geographic theater and revenue for groups of similar products and services for the years ended July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94310"/>
                <wp:effectExtent l="0" t="0" r="0" b="0"/>
                <wp:wrapNone/>
                <wp:docPr id="95" name="Frame9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 Changes in and Disagreements with Accountants on Accounting and Financial Disclosure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9A. Controls and Procedures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Evaluation of Disclosure Controls and Procedures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management, with the participation of our chief executive officer and chief financial officer, evaluated the effectiveness of our disclosure controls and procedures pursuant to Rule 13a-15(f)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Based on our evaluation, our chief executive officer and chief financial officer concluded that, as of July 31, 2025,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Management’s Annual Report on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management is responsible for establishing and maintaining adequate internal control over financial reporting as defined in Rules 13a-15(f) under the Exchange Act. Our management assessed the effectiveness of our internal control over financial reporting as of July 31, 2025, based on the framework set forth by the Committee of Sponsoring Organizations of the Treadway Commission (“COSO”) in Internal Control - Integrated Framework (2013 framework). Based on that assessment, management concluded that, as of July 31, 2025, our internal control over financial reporting was effective.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effectiveness of our internal control over financial reporting as of July 31, 2025 has been audited by Ernst &amp; Young LLP, the independent registered public accounting firm that audits our consolidated financial statements, as stated in their report which is included in Part II, Item 8 of this Annual Report on Form 10-K.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Changes in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were no changes in our internal control over financial reporting identified in connection with the evaluation required by Rule 13a-15(d) and 15d-15(d) of the Exchange Act that occurred during the fiscal quarter ended July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94310"/>
                <wp:effectExtent l="0" t="0" r="0" b="0"/>
                <wp:wrapNone/>
                <wp:docPr id="96" name="Frame9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9B. Other Information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Trading Plans of Directors and Executive Officers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Set forth below is certain information regarding Rule 10b5-1 trading plans adopted or terminated by our directors and officers (as defined in Rule 16a-1(f)) during the fourth quarter of fiscal 2025. The Rule 10b5-1 trading plans listed below are each intended to satisfy the affirmative defense of Rule 10b5-1(c).</w:t>
      </w:r>
    </w:p>
    <w:tbl>
      <w:tblPr>
        <w:tblW w:w="10205" w:type="dxa"/>
        <w:jc w:val="left"/>
        <w:tblInd w:w="0" w:type="dxa"/>
        <w:tblLayout w:type="fixed"/>
        <w:tblCellMar>
          <w:top w:w="28" w:type="dxa"/>
          <w:left w:w="28" w:type="dxa"/>
          <w:bottom w:w="28" w:type="dxa"/>
          <w:right w:w="28" w:type="dxa"/>
        </w:tblCellMar>
      </w:tblPr>
      <w:tblGrid>
        <w:gridCol w:w="287"/>
        <w:gridCol w:w="252"/>
        <w:gridCol w:w="255"/>
        <w:gridCol w:w="109"/>
        <w:gridCol w:w="109"/>
        <w:gridCol w:w="109"/>
        <w:gridCol w:w="391"/>
        <w:gridCol w:w="391"/>
        <w:gridCol w:w="397"/>
        <w:gridCol w:w="109"/>
        <w:gridCol w:w="109"/>
        <w:gridCol w:w="109"/>
        <w:gridCol w:w="405"/>
        <w:gridCol w:w="405"/>
        <w:gridCol w:w="407"/>
        <w:gridCol w:w="109"/>
        <w:gridCol w:w="109"/>
        <w:gridCol w:w="109"/>
        <w:gridCol w:w="490"/>
        <w:gridCol w:w="490"/>
        <w:gridCol w:w="492"/>
        <w:gridCol w:w="109"/>
        <w:gridCol w:w="109"/>
        <w:gridCol w:w="109"/>
        <w:gridCol w:w="626"/>
        <w:gridCol w:w="626"/>
        <w:gridCol w:w="627"/>
        <w:gridCol w:w="109"/>
        <w:gridCol w:w="109"/>
        <w:gridCol w:w="109"/>
        <w:gridCol w:w="590"/>
        <w:gridCol w:w="590"/>
        <w:gridCol w:w="849"/>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Date Plan Was 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Date Plan Was 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Original 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Amount of Common Stock to Be Sold Under the Plan</w:t>
            </w:r>
          </w:p>
        </w:tc>
      </w:tr>
      <w:tr>
        <w:trPr/>
        <w:tc>
          <w:tcPr>
            <w:tcW w:w="794"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Nikesh Arora</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Chief Executive Officer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June 24, 2025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Not applicable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December 24, 2025 or when all shares have been sold</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shd w:fill="E3E3E3" w:val="clear"/>
            <w:tcMar>
              <w:top w:w="3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846,408</w:t>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r>
        <w:trPr/>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 other officers or directors, as defined in Rule 16a-1(f), adopted, modified, and/or terminated a “Rule 10b5-1 trading arrangement” or a “non-Rule 10b5-1 trading arrangement,” as defined in Regulation S-K Item 408, during the fourth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9C. Disclosure Regarding Foreign Jurisdictions That Prevent Inspections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94310"/>
                <wp:effectExtent l="0" t="0" r="0" b="0"/>
                <wp:wrapNone/>
                <wp:docPr id="97" name="Frame9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10. Directors, Executive Officers and Corporate Governance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contained in our definitive proxy statement to be filed with the SEC in connection with our 2025 annual meeting of stockholders (the “Proxy Statement”), which is expected to be filed not later than 120 days after the end of our fiscal year ended July 31, 2025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11. Executive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12. Security Ownership of Certain Beneficial Owners and Management and Related Stockholder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13. Certain Relationships and Related Transactions, and Director Independence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14. Principal Accountant Fees and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94310"/>
                <wp:effectExtent l="0" t="0" r="0" b="0"/>
                <wp:wrapNone/>
                <wp:docPr id="98" name="Frame9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15. Exhibits and Financial Statement Schedules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Documents filed as part of this Annual Report on Form 10-K are as follows: </w:t>
      </w:r>
    </w:p>
    <w:p>
      <w:pPr>
        <w:pStyle w:val="TextBody"/>
        <w:bidi w:val="0"/>
        <w:spacing w:lineRule="auto" w:line="288" w:before="80" w:after="80"/>
        <w:ind w:left="0" w:right="0" w:hanging="288"/>
        <w:jc w:val="left"/>
        <w:rPr/>
      </w:pPr>
      <w:r>
        <w:rPr>
          <w:rFonts w:ascii="Montserrat;sans-serif" w:hAnsi="Montserrat;sans-serif"/>
          <w:b/>
          <w:color w:val="E64B38"/>
          <w:sz w:val="18"/>
        </w:rPr>
        <w:t>1.</w:t>
      </w:r>
      <w:r>
        <w:rPr>
          <w:rFonts w:ascii="Montserrat;sans-serif" w:hAnsi="Montserrat;sans-serif"/>
          <w:b w:val="false"/>
          <w:color w:val="000000"/>
          <w:sz w:val="18"/>
        </w:rPr>
        <w:t>Consolidated Financial Statements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Our Consolidated Financial Statements are listed in the “Index to Consolidated Financial Statements” under Part II, Item 8 of this Annual Report on Form 10-K. </w:t>
      </w:r>
    </w:p>
    <w:p>
      <w:pPr>
        <w:pStyle w:val="TextBody"/>
        <w:bidi w:val="0"/>
        <w:spacing w:lineRule="auto" w:line="288" w:before="80" w:after="80"/>
        <w:ind w:left="0" w:right="0" w:hanging="288"/>
        <w:jc w:val="left"/>
        <w:rPr/>
      </w:pPr>
      <w:r>
        <w:rPr>
          <w:rFonts w:ascii="Montserrat;sans-serif" w:hAnsi="Montserrat;sans-serif"/>
          <w:b/>
          <w:color w:val="E64B38"/>
          <w:sz w:val="18"/>
        </w:rPr>
        <w:t>2.</w:t>
      </w:r>
      <w:r>
        <w:rPr>
          <w:rFonts w:ascii="Montserrat;sans-serif" w:hAnsi="Montserrat;sans-serif"/>
          <w:b w:val="false"/>
          <w:color w:val="000000"/>
          <w:sz w:val="18"/>
        </w:rPr>
        <w:t>Financial Statement Schedules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pStyle w:val="TextBody"/>
        <w:bidi w:val="0"/>
        <w:spacing w:lineRule="auto" w:line="288" w:before="80" w:after="80"/>
        <w:ind w:left="0" w:right="0" w:hanging="288"/>
        <w:jc w:val="left"/>
        <w:rPr/>
      </w:pPr>
      <w:r>
        <w:rPr>
          <w:rFonts w:ascii="Montserrat;sans-serif" w:hAnsi="Montserrat;sans-serif"/>
          <w:b/>
          <w:color w:val="E64B38"/>
          <w:sz w:val="18"/>
        </w:rPr>
        <w:t>3.</w:t>
      </w:r>
      <w:r>
        <w:rPr>
          <w:rFonts w:ascii="Montserrat;sans-serif" w:hAnsi="Montserrat;sans-serif"/>
          <w:b w:val="false"/>
          <w:color w:val="000000"/>
          <w:sz w:val="18"/>
        </w:rPr>
        <w:t>Exhibits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documents are incorporated by reference or are filed with this Annual Report on Form 10-K, in each case as indicated therein (numbered in accordance with Item 601 of Regulation S-K). </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Exhibit Index</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688"/>
        <w:gridCol w:w="1149"/>
        <w:gridCol w:w="1152"/>
        <w:gridCol w:w="109"/>
        <w:gridCol w:w="109"/>
        <w:gridCol w:w="109"/>
        <w:gridCol w:w="195"/>
        <w:gridCol w:w="195"/>
        <w:gridCol w:w="196"/>
        <w:gridCol w:w="111"/>
        <w:gridCol w:w="111"/>
        <w:gridCol w:w="111"/>
        <w:gridCol w:w="381"/>
        <w:gridCol w:w="315"/>
        <w:gridCol w:w="205"/>
        <w:gridCol w:w="111"/>
        <w:gridCol w:w="111"/>
        <w:gridCol w:w="111"/>
        <w:gridCol w:w="255"/>
        <w:gridCol w:w="255"/>
        <w:gridCol w:w="256"/>
        <w:gridCol w:w="111"/>
        <w:gridCol w:w="111"/>
        <w:gridCol w:w="111"/>
        <w:gridCol w:w="566"/>
        <w:gridCol w:w="338"/>
        <w:gridCol w:w="294"/>
        <w:gridCol w:w="109"/>
        <w:gridCol w:w="162"/>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Montserrat;sans-serif" w:hAnsi="Montserrat;sans-serif"/>
                  <w:b w:val="false"/>
                  <w:color w:val="0000FF"/>
                  <w:sz w:val="18"/>
                  <w:u w:val="single"/>
                </w:rPr>
                <w:t>2.1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Agreement and Plan of Merger, dated as of July 30, 2025, by and among Palo Alto Networks, Inc., Athens Strategies Ltd. and CyberArk Software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2.1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restatedcertificat.htm">
              <w:r>
                <w:rPr>
                  <w:rStyle w:val="InternetLink"/>
                  <w:rFonts w:ascii="Montserrat;sans-serif" w:hAnsi="Montserrat;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Restated Certificate of Incorporation of the Registrant,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Montserrat;sans-serif" w:hAnsi="Montserrat;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Amended and Restated Bylaws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18, 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Montserrat;sans-serif" w:hAnsi="Montserrat;sans-serif"/>
                  <w:b w:val="false"/>
                  <w:color w:val="0000FF"/>
                  <w:sz w:val="18"/>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 of Change of Location of Registered Agent and/or Registered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30, 2016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41descriptionofregis.htm">
              <w:r>
                <w:rPr>
                  <w:rStyle w:val="InternetLink"/>
                  <w:rFonts w:ascii="Montserrat;sans-serif" w:hAnsi="Montserrat;sans-serif"/>
                  <w:b w:val="false"/>
                  <w:color w:val="000080"/>
                  <w:sz w:val="18"/>
                  <w:u w:val="single"/>
                </w:rPr>
                <w:t>4.</w:t>
              </w:r>
            </w:hyperlink>
            <w:hyperlink w:anchor="panwex41descriptionofregis.htm">
              <w:r>
                <w:rPr>
                  <w:rStyle w:val="InternetLink"/>
                  <w:rFonts w:ascii="Montserrat;sans-serif" w:hAnsi="Montserrat;sans-serif"/>
                  <w:b w:val="false"/>
                  <w:color w:val="000080"/>
                  <w:sz w:val="18"/>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Description of Registrant’s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Montserrat;sans-serif" w:hAnsi="Montserrat;sans-serif"/>
                  <w:b w:val="false"/>
                  <w:color w:val="0000FF"/>
                  <w:sz w:val="18"/>
                  <w:u w:val="single"/>
                </w:rPr>
                <w:t>10.1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Indemnification Agreement between the Registrant and its directors and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S-1/A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333-180620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July 9, 2012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Montserrat;sans-serif" w:hAnsi="Montserrat;sans-serif"/>
                  <w:b w:val="false"/>
                  <w:color w:val="0000FF"/>
                  <w:sz w:val="18"/>
                  <w:u w:val="single"/>
                </w:rPr>
                <w:t>10.2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2012 Equity Incentive Plan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26, 2019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Montserrat;sans-serif" w:hAnsi="Montserrat;sans-serif"/>
                  <w:b w:val="false"/>
                  <w:color w:val="0000FF"/>
                  <w:sz w:val="18"/>
                  <w:u w:val="single"/>
                </w:rPr>
                <w:t>10.3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2012 Equity Incentive Plan Performance-Based Restricted Stock Unit Award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19, 2021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042021equityincenti.htm">
              <w:r>
                <w:rPr>
                  <w:rStyle w:val="InternetLink"/>
                  <w:rFonts w:ascii="Montserrat;sans-serif" w:hAnsi="Montserrat;sans-serif"/>
                  <w:b w:val="false"/>
                  <w:color w:val="0000FF"/>
                  <w:sz w:val="18"/>
                  <w:u w:val="single"/>
                </w:rPr>
                <w:t>10.4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2021 Equity Incentive Plan, as amended and restated,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052012employeestock.htm">
              <w:r>
                <w:rPr>
                  <w:rStyle w:val="InternetLink"/>
                  <w:rFonts w:ascii="Montserrat;sans-serif" w:hAnsi="Montserrat;sans-serif"/>
                  <w:b w:val="false"/>
                  <w:color w:val="000080"/>
                  <w:sz w:val="18"/>
                  <w:u w:val="single"/>
                </w:rPr>
                <w:t>10</w:t>
              </w:r>
            </w:hyperlink>
            <w:hyperlink w:anchor="panwex1052012employeestock.htm">
              <w:r>
                <w:rPr>
                  <w:rStyle w:val="InternetLink"/>
                  <w:rFonts w:ascii="Montserrat;sans-serif" w:hAnsi="Montserrat;sans-serif"/>
                  <w:b w:val="false"/>
                  <w:color w:val="000080"/>
                  <w:sz w:val="18"/>
                  <w:u w:val="single"/>
                </w:rPr>
                <w:t>.5</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2012 Employee Stock Purchase Plan, as amended and restated,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Montserrat;sans-serif" w:hAnsi="Montserrat;sans-serif"/>
                  <w:b w:val="false"/>
                  <w:color w:val="000080"/>
                  <w:sz w:val="18"/>
                  <w:u w:val="single"/>
                </w:rPr>
                <w:t>10</w:t>
              </w:r>
            </w:hyperlink>
            <w:hyperlink r:id="rId10">
              <w:r>
                <w:rPr>
                  <w:rStyle w:val="InternetLink"/>
                  <w:rFonts w:ascii="Montserrat;sans-serif" w:hAnsi="Montserrat;sans-serif"/>
                  <w:b w:val="false"/>
                  <w:color w:val="000080"/>
                  <w:sz w:val="18"/>
                  <w:u w:val="single"/>
                </w:rPr>
                <w:t>.6</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RedLock Inc. 2015 Stock Plan, as amended, and related form agreements under RedLock Inc. 2015 Stock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333-227901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October 19, 2018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Montserrat;sans-serif" w:hAnsi="Montserrat;sans-serif"/>
                  <w:b w:val="false"/>
                  <w:color w:val="0000FF"/>
                  <w:sz w:val="18"/>
                  <w:u w:val="single"/>
                </w:rPr>
                <w:t>10.7</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Cider Security Ltd. 2020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333-268931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December 21, 2022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8110"/>
                <wp:effectExtent l="0" t="0" r="0" b="0"/>
                <wp:wrapNone/>
                <wp:docPr id="99" name="Frame9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- 98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- 98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748"/>
        <w:gridCol w:w="1101"/>
        <w:gridCol w:w="1104"/>
        <w:gridCol w:w="109"/>
        <w:gridCol w:w="109"/>
        <w:gridCol w:w="109"/>
        <w:gridCol w:w="195"/>
        <w:gridCol w:w="195"/>
        <w:gridCol w:w="196"/>
        <w:gridCol w:w="111"/>
        <w:gridCol w:w="111"/>
        <w:gridCol w:w="111"/>
        <w:gridCol w:w="295"/>
        <w:gridCol w:w="295"/>
        <w:gridCol w:w="299"/>
        <w:gridCol w:w="111"/>
        <w:gridCol w:w="111"/>
        <w:gridCol w:w="111"/>
        <w:gridCol w:w="255"/>
        <w:gridCol w:w="255"/>
        <w:gridCol w:w="256"/>
        <w:gridCol w:w="111"/>
        <w:gridCol w:w="111"/>
        <w:gridCol w:w="111"/>
        <w:gridCol w:w="483"/>
        <w:gridCol w:w="419"/>
        <w:gridCol w:w="347"/>
        <w:gridCol w:w="109"/>
        <w:gridCol w:w="159"/>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Montserrat;sans-serif" w:hAnsi="Montserrat;sans-serif"/>
                  <w:b w:val="false"/>
                  <w:color w:val="0000FF"/>
                  <w:sz w:val="18"/>
                  <w:u w:val="single"/>
                </w:rPr>
                <w:t>10.8</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Sub-Plan to Cider Security Ltd. 2020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333-268931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December 21,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Montserrat;sans-serif" w:hAnsi="Montserrat;sans-serif"/>
                  <w:b w:val="false"/>
                  <w:color w:val="0000FF"/>
                  <w:sz w:val="18"/>
                  <w:u w:val="single"/>
                </w:rPr>
                <w:t>10.9</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Incentive Compensation Plan,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25, 2014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Montserrat;sans-serif" w:hAnsi="Montserrat;sans-serif"/>
                  <w:b w:val="false"/>
                  <w:color w:val="0000FF"/>
                  <w:sz w:val="18"/>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Clawback Policy, adopted as of August 29, 2017, amended 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10.16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Montserrat;sans-serif" w:hAnsi="Montserrat;sans-serif"/>
                  <w:b w:val="false"/>
                  <w:color w:val="0000FF"/>
                  <w:sz w:val="18"/>
                  <w:u w:val="single"/>
                </w:rPr>
                <w:t>10.11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Amended and Restated Outside Director Compensation Policy (last amended February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May 21,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Montserrat;sans-serif" w:hAnsi="Montserrat;sans-serif"/>
                  <w:b w:val="false"/>
                  <w:color w:val="0000FF"/>
                  <w:sz w:val="18"/>
                  <w:u w:val="single"/>
                </w:rPr>
                <w:t>10.12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Continued Service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Montserrat;sans-serif" w:hAnsi="Montserrat;sans-serif"/>
                  <w:b w:val="false"/>
                  <w:color w:val="0000FF"/>
                  <w:sz w:val="18"/>
                  <w:u w:val="single"/>
                </w:rPr>
                <w:t>10.13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Palo Alto Networks, Inc. Deferred Compensation Plan effective June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014nirzukamendmentl.htm">
              <w:r>
                <w:rPr>
                  <w:rStyle w:val="InternetLink"/>
                  <w:rFonts w:ascii="Montserrat;sans-serif" w:hAnsi="Montserrat;sans-serif"/>
                  <w:b w:val="false"/>
                  <w:color w:val="0000FF"/>
                  <w:sz w:val="18"/>
                  <w:u w:val="single"/>
                </w:rPr>
                <w:t>10.14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Amendment and Restated Employment Letter between Palo Alto Networks, Inc. and Nir Zuk, dated July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Montserrat;sans-serif" w:hAnsi="Montserrat;sans-serif"/>
                  <w:b w:val="false"/>
                  <w:color w:val="0000FF"/>
                  <w:sz w:val="18"/>
                  <w:u w:val="single"/>
                </w:rPr>
                <w:t>10.15</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Offer Letter between the Registrant and Nikesh Arora, dated May 30,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June 4, 2018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Montserrat;sans-serif" w:hAnsi="Montserrat;sans-serif"/>
                  <w:b w:val="false"/>
                  <w:color w:val="0000FF"/>
                  <w:sz w:val="18"/>
                  <w:u w:val="single"/>
                </w:rPr>
                <w:t>10.16</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Offer Letter between the Registrant and Josh Paul, dated August 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8, 2021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Montserrat;sans-serif" w:hAnsi="Montserrat;sans-serif"/>
                  <w:b w:val="false"/>
                  <w:color w:val="0000FF"/>
                  <w:sz w:val="18"/>
                  <w:u w:val="single"/>
                </w:rPr>
                <w:t>10.17</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Confirmatory Employment Letter with Updated Change in Control Protection between the Registrant and Lee Klarich, dated December 19,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30, 2018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Montserrat;sans-serif" w:hAnsi="Montserrat;sans-serif"/>
                  <w:b w:val="false"/>
                  <w:color w:val="0000FF"/>
                  <w:sz w:val="18"/>
                  <w:u w:val="single"/>
                </w:rPr>
                <w:t>10.18</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by and between the Registrant and Dipak Golechha, dated 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19, 2021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Montserrat;sans-serif" w:hAnsi="Montserrat;sans-serif"/>
                  <w:b w:val="false"/>
                  <w:color w:val="0000FF"/>
                  <w:sz w:val="18"/>
                  <w:u w:val="single"/>
                </w:rPr>
                <w:t>10.19</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by and between the Registrant and Dipak Golechha, dated February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Montserrat;sans-serif" w:hAnsi="Montserrat;sans-serif"/>
                  <w:b w:val="false"/>
                  <w:color w:val="0000FF"/>
                  <w:sz w:val="18"/>
                  <w:u w:val="single"/>
                </w:rPr>
                <w:t>10.20</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Employment Offer Letter by and between the Registrant and William “BJ” Jenkins, dated July 27,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12, 2021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Montserrat;sans-serif" w:hAnsi="Montserrat;sans-serif"/>
                  <w:b w:val="false"/>
                  <w:color w:val="0000FF"/>
                  <w:sz w:val="18"/>
                  <w:u w:val="single"/>
                </w:rPr>
                <w:t>10.21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between the Registrant and William “BJ” Jenkins, dated February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Montserrat;sans-serif" w:hAnsi="Montserrat;sans-serif"/>
                  <w:b w:val="false"/>
                  <w:color w:val="0000FF"/>
                  <w:sz w:val="18"/>
                  <w:u w:val="single"/>
                </w:rPr>
                <w:t>10.22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Offer Letter between the Registrant and its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21, 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Montserrat;sans-serif" w:hAnsi="Montserrat;sans-serif"/>
                  <w:b w:val="false"/>
                  <w:color w:val="0000FF"/>
                  <w:sz w:val="18"/>
                  <w:u w:val="single"/>
                </w:rPr>
                <w:t>10.23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Amended and Restated Flextronics Manufacturing Services Agreement, by and between the Registrant and Flextronics Telecom Systems Ltd., dated April 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30, 2019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Montserrat;sans-serif" w:hAnsi="Montserrat;sans-serif"/>
                  <w:b w:val="false"/>
                  <w:color w:val="0000FF"/>
                  <w:sz w:val="18"/>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Vendor Information Security Terms between the Registrant and Flextronics Telecom Systems Ltd., dated July 23,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10.29</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3, 2021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Montserrat;sans-serif" w:hAnsi="Montserrat;sans-serif"/>
                  <w:b w:val="false"/>
                  <w:color w:val="0000FF"/>
                  <w:sz w:val="18"/>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10.29</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Montserrat;sans-serif" w:hAnsi="Montserrat;sans-serif"/>
                  <w:b w:val="false"/>
                  <w:color w:val="0000FF"/>
                  <w:sz w:val="18"/>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8110"/>
                <wp:effectExtent l="0" t="0" r="0" b="0"/>
                <wp:wrapNone/>
                <wp:docPr id="100" name="Frame9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- 99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- 99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455"/>
        <w:gridCol w:w="1275"/>
        <w:gridCol w:w="1278"/>
        <w:gridCol w:w="109"/>
        <w:gridCol w:w="109"/>
        <w:gridCol w:w="109"/>
        <w:gridCol w:w="195"/>
        <w:gridCol w:w="195"/>
        <w:gridCol w:w="196"/>
        <w:gridCol w:w="111"/>
        <w:gridCol w:w="111"/>
        <w:gridCol w:w="111"/>
        <w:gridCol w:w="294"/>
        <w:gridCol w:w="294"/>
        <w:gridCol w:w="201"/>
        <w:gridCol w:w="111"/>
        <w:gridCol w:w="111"/>
        <w:gridCol w:w="111"/>
        <w:gridCol w:w="255"/>
        <w:gridCol w:w="255"/>
        <w:gridCol w:w="256"/>
        <w:gridCol w:w="111"/>
        <w:gridCol w:w="111"/>
        <w:gridCol w:w="111"/>
        <w:gridCol w:w="433"/>
        <w:gridCol w:w="433"/>
        <w:gridCol w:w="424"/>
        <w:gridCol w:w="109"/>
        <w:gridCol w:w="16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Montserrat;sans-serif" w:hAnsi="Montserrat;sans-serif"/>
                  <w:b w:val="false"/>
                  <w:color w:val="0000FF"/>
                  <w:sz w:val="18"/>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Montserrat;sans-serif" w:hAnsi="Montserrat;sans-serif"/>
                  <w:b w:val="false"/>
                  <w:color w:val="0000FF"/>
                  <w:sz w:val="18"/>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by and between the Registrant and Santa Clara Campus Property Owner I LLC, dated October 7,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October 19, 2015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Montserrat;sans-serif" w:hAnsi="Montserrat;sans-serif"/>
                  <w:b w:val="false"/>
                  <w:color w:val="0000FF"/>
                  <w:sz w:val="18"/>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Phase I Property LLC, dated November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24, 2015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Montserrat;sans-serif" w:hAnsi="Montserrat;sans-serif"/>
                  <w:b w:val="false"/>
                  <w:color w:val="0000FF"/>
                  <w:sz w:val="18"/>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November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24, 2015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Montserrat;sans-serif" w:hAnsi="Montserrat;sans-serif"/>
                  <w:b w:val="false"/>
                  <w:color w:val="0000FF"/>
                  <w:sz w:val="18"/>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Montserrat;sans-serif" w:hAnsi="Montserrat;sans-serif"/>
                  <w:b w:val="false"/>
                  <w:color w:val="0000FF"/>
                  <w:sz w:val="18"/>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Montserrat;sans-serif" w:hAnsi="Montserrat;sans-serif"/>
                  <w:b w:val="false"/>
                  <w:color w:val="0000FF"/>
                  <w:sz w:val="18"/>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Montserrat;sans-serif" w:hAnsi="Montserrat;sans-serif"/>
                  <w:b w:val="false"/>
                  <w:color w:val="0000FF"/>
                  <w:sz w:val="18"/>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Montserrat;sans-serif" w:hAnsi="Montserrat;sans-serif"/>
                  <w:b w:val="false"/>
                  <w:color w:val="0000FF"/>
                  <w:sz w:val="18"/>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Montserrat;sans-serif" w:hAnsi="Montserrat;sans-serif"/>
                  <w:b w:val="false"/>
                  <w:color w:val="0000FF"/>
                  <w:sz w:val="18"/>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Montserrat;sans-serif" w:hAnsi="Montserrat;sans-serif"/>
                  <w:b w:val="false"/>
                  <w:color w:val="0000FF"/>
                  <w:sz w:val="18"/>
                  <w:u w:val="single"/>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EFH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Montserrat;sans-serif" w:hAnsi="Montserrat;sans-serif"/>
                  <w:b w:val="false"/>
                  <w:color w:val="0000FF"/>
                  <w:sz w:val="18"/>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G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Montserrat;sans-serif" w:hAnsi="Montserrat;sans-serif"/>
                  <w:b w:val="false"/>
                  <w:color w:val="0000FF"/>
                  <w:sz w:val="18"/>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EFH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Montserrat;sans-serif" w:hAnsi="Montserrat;sans-serif"/>
                  <w:b w:val="false"/>
                  <w:color w:val="0000FF"/>
                  <w:sz w:val="18"/>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Phase III EFH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Montserrat;sans-serif" w:hAnsi="Montserrat;sans-serif"/>
                  <w:b w:val="false"/>
                  <w:color w:val="0000FF"/>
                  <w:sz w:val="18"/>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Phase III G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Montserrat;sans-serif" w:hAnsi="Montserrat;sans-serif"/>
                  <w:b w:val="false"/>
                  <w:color w:val="0000FF"/>
                  <w:sz w:val="18"/>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Registrant and Santa Clara Phase III EFH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10.7</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Montserrat;sans-serif" w:hAnsi="Montserrat;sans-serif"/>
                  <w:b w:val="false"/>
                  <w:color w:val="0000FF"/>
                  <w:sz w:val="18"/>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Credit Agreement, dated as of April 13, 2023 among the Registrant, the lenders party thereto and Wells Fargo, National Association, as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April 19, 2023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8110"/>
                <wp:effectExtent l="0" t="0" r="0" b="0"/>
                <wp:wrapNone/>
                <wp:docPr id="101" name="Frame10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- 100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- 100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7c6d02d19ae642d183bd6885f5b5223e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7"/>
        <w:gridCol w:w="271"/>
        <w:gridCol w:w="272"/>
        <w:gridCol w:w="109"/>
        <w:gridCol w:w="109"/>
        <w:gridCol w:w="109"/>
        <w:gridCol w:w="1550"/>
        <w:gridCol w:w="1278"/>
        <w:gridCol w:w="1281"/>
        <w:gridCol w:w="109"/>
        <w:gridCol w:w="109"/>
        <w:gridCol w:w="109"/>
        <w:gridCol w:w="195"/>
        <w:gridCol w:w="195"/>
        <w:gridCol w:w="196"/>
        <w:gridCol w:w="110"/>
        <w:gridCol w:w="110"/>
        <w:gridCol w:w="110"/>
        <w:gridCol w:w="287"/>
        <w:gridCol w:w="287"/>
        <w:gridCol w:w="187"/>
        <w:gridCol w:w="110"/>
        <w:gridCol w:w="110"/>
        <w:gridCol w:w="110"/>
        <w:gridCol w:w="255"/>
        <w:gridCol w:w="255"/>
        <w:gridCol w:w="256"/>
        <w:gridCol w:w="110"/>
        <w:gridCol w:w="110"/>
        <w:gridCol w:w="110"/>
        <w:gridCol w:w="577"/>
        <w:gridCol w:w="366"/>
        <w:gridCol w:w="271"/>
        <w:gridCol w:w="109"/>
        <w:gridCol w:w="166"/>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1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Montserrat;sans-serif" w:hAnsi="Montserrat;sans-serif"/>
                  <w:b w:val="false"/>
                  <w:color w:val="0000FF"/>
                  <w:sz w:val="18"/>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Amendment No. 1, dated as of November 22, 2024, to Credit Agreement, dated as of April 13, 2023, among Palo Alto Networks, Inc., the lenders party thereto, and Wells Fargo Bank, National Association, as administrative agent.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14, 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Montserrat;sans-serif" w:hAnsi="Montserrat;sans-serif"/>
                  <w:b w:val="false"/>
                  <w:color w:val="000080"/>
                  <w:sz w:val="18"/>
                  <w:u w:val="single"/>
                </w:rPr>
                <w:t>10.</w:t>
              </w:r>
            </w:hyperlink>
            <w:hyperlink r:id="rId49">
              <w:r>
                <w:rPr>
                  <w:rStyle w:val="InternetLink"/>
                  <w:rFonts w:ascii="Montserrat;sans-serif" w:hAnsi="Montserrat;sans-serif"/>
                  <w:b w:val="false"/>
                  <w:color w:val="000080"/>
                  <w:sz w:val="18"/>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Form of Warrant Confirmation.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June 8, 2020</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91insidertradingpol.htm">
              <w:r>
                <w:rPr>
                  <w:rStyle w:val="InternetLink"/>
                  <w:rFonts w:ascii="Montserrat;sans-serif" w:hAnsi="Montserrat;sans-serif"/>
                  <w:b w:val="false"/>
                  <w:color w:val="0000FF"/>
                  <w:sz w:val="18"/>
                  <w:u w:val="single"/>
                </w:rPr>
                <w:t>19.1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Insider Trading Policy and Requirements for Trading Plans,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211fy25.htm">
              <w:r>
                <w:rPr>
                  <w:rStyle w:val="InternetLink"/>
                  <w:rFonts w:ascii="Montserrat;sans-serif" w:hAnsi="Montserrat;sans-serif"/>
                  <w:b w:val="false"/>
                  <w:color w:val="0000FF"/>
                  <w:sz w:val="18"/>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List of subsidiaries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231fy25.htm">
              <w:r>
                <w:rPr>
                  <w:rStyle w:val="InternetLink"/>
                  <w:rFonts w:ascii="Montserrat;sans-serif" w:hAnsi="Montserrat;sans-serif"/>
                  <w:b w:val="false"/>
                  <w:color w:val="0000FF"/>
                  <w:sz w:val="18"/>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6d02d19ae642d183bd6885f5b5223e_364">
              <w:r>
                <w:rPr>
                  <w:rStyle w:val="InternetLink"/>
                  <w:rFonts w:ascii="Montserrat;sans-serif" w:hAnsi="Montserrat;sans-serif"/>
                  <w:b w:val="false"/>
                  <w:color w:val="0000FF"/>
                  <w:sz w:val="18"/>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Power of Attorney (contained in the signature page to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1q425.htm">
              <w:r>
                <w:rPr>
                  <w:rStyle w:val="InternetLink"/>
                  <w:rFonts w:ascii="Montserrat;sans-serif" w:hAnsi="Montserrat;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the Chief Executive Officer pursuant to Section 302(a)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2q425.htm">
              <w:r>
                <w:rPr>
                  <w:rStyle w:val="InternetLink"/>
                  <w:rFonts w:ascii="Montserrat;sans-serif" w:hAnsi="Montserrat;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the Chief Financial Officer pursuant to Section 302(a)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1q425.htm">
              <w:r>
                <w:rPr>
                  <w:rStyle w:val="InternetLink"/>
                  <w:rFonts w:ascii="Montserrat;sans-serif" w:hAnsi="Montserrat;sans-serif"/>
                  <w:b w:val="false"/>
                  <w:color w:val="0000FF"/>
                  <w:sz w:val="18"/>
                  <w:u w:val="single"/>
                </w:rPr>
                <w:t>32.1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Chief Executive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2q425.htm">
              <w:r>
                <w:rPr>
                  <w:rStyle w:val="InternetLink"/>
                  <w:rFonts w:ascii="Montserrat;sans-serif" w:hAnsi="Montserrat;sans-serif"/>
                  <w:b w:val="false"/>
                  <w:color w:val="0000FF"/>
                  <w:sz w:val="18"/>
                  <w:u w:val="single"/>
                </w:rPr>
                <w:t>32.2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Montserrat;sans-serif" w:hAnsi="Montserrat;sans-serif"/>
                  <w:b w:val="false"/>
                  <w:color w:val="0000FF"/>
                  <w:sz w:val="18"/>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Compensation Recovery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97.1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2024</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Schema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rFonts w:ascii="Montserrat;sans-serif" w:hAnsi="Montserrat;sans-serif"/>
          <w:b w:val="false"/>
          <w:color w:val="000000"/>
          <w:sz w:val="16"/>
        </w:rPr>
      </w:pPr>
      <w:r>
        <w:rPr>
          <w:rFonts w:ascii="Montserrat;sans-serif" w:hAnsi="Montserrat;sans-serif"/>
          <w:b w:val="false"/>
          <w:color w:val="000000"/>
          <w:sz w:val="16"/>
        </w:rPr>
        <w:t>*    Indicates a management contract or compensatory plan or arrangement.</w:t>
      </w:r>
    </w:p>
    <w:p>
      <w:pPr>
        <w:pStyle w:val="TextBody"/>
        <w:bidi w:val="0"/>
        <w:spacing w:lineRule="auto" w:line="288" w:before="80" w:after="80"/>
        <w:ind w:left="0" w:right="0" w:hanging="216"/>
        <w:jc w:val="left"/>
        <w:rPr>
          <w:rFonts w:ascii="Montserrat;sans-serif" w:hAnsi="Montserrat;sans-serif"/>
          <w:b w:val="false"/>
          <w:color w:val="000000"/>
          <w:sz w:val="16"/>
        </w:rPr>
      </w:pPr>
      <w:r>
        <w:rPr>
          <w:rFonts w:ascii="Montserrat;sans-serif" w:hAnsi="Montserrat;sans-serif"/>
          <w:b w:val="false"/>
          <w:color w:val="000000"/>
          <w:sz w:val="16"/>
        </w:rPr>
        <w:t>**    Certain portions of this exhibit have been omitted as the Registrant has determined (i) the omitted information is not material and (ii) the omitted information would likely cause harm to the Registrant if publicly disclosed.</w:t>
      </w:r>
    </w:p>
    <w:p>
      <w:pPr>
        <w:pStyle w:val="TextBody"/>
        <w:bidi w:val="0"/>
        <w:spacing w:lineRule="auto" w:line="288" w:before="80" w:after="80"/>
        <w:jc w:val="left"/>
        <w:rPr>
          <w:rFonts w:ascii="Montserrat;sans-serif" w:hAnsi="Montserrat;sans-serif"/>
          <w:b w:val="false"/>
          <w:color w:val="000000"/>
          <w:sz w:val="16"/>
        </w:rPr>
      </w:pPr>
      <w:r>
        <w:rPr>
          <w:rFonts w:ascii="Montserrat;sans-serif" w:hAnsi="Montserrat;sans-serif"/>
          <w:b w:val="false"/>
          <w:color w:val="000000"/>
          <w:sz w:val="16"/>
        </w:rPr>
        <w:t xml:space="preserve">*** Schedules omitted pursuant to Item 601(b)(2) of Regulation S-K. The Registrant agrees to furnish supplementally a copy of any omitted schedule to the SEC upon request; provided, however, that the Registrant may request confidential treatment pursuant to Rule 24b-2 of the Securities Exchange Act of 1934, as amended, for any schedules or exhibits so furnished. </w:t>
      </w:r>
    </w:p>
    <w:p>
      <w:pPr>
        <w:pStyle w:val="TextBody"/>
        <w:bidi w:val="0"/>
        <w:spacing w:lineRule="auto" w:line="288" w:before="80" w:after="80"/>
        <w:ind w:left="0" w:right="0" w:hanging="216"/>
        <w:jc w:val="left"/>
        <w:rPr>
          <w:color w:val="000000"/>
        </w:rPr>
      </w:pPr>
      <w:r>
        <w:rPr>
          <w:color w:val="000000"/>
        </w:rPr>
        <w:t>†    </w:t>
      </w:r>
      <w:r>
        <w:rPr>
          <w:rFonts w:ascii="Montserrat;sans-serif" w:hAnsi="Montserrat;sans-serif"/>
          <w:b w:val="false"/>
          <w:color w:val="000000"/>
          <w:sz w:val="16"/>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16. Form 10-K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8110"/>
                <wp:effectExtent l="0" t="0" r="0" b="0"/>
                <wp:wrapNone/>
                <wp:docPr id="102" name="Frame10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- 101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- 101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Signatures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Section 13 or 15(d) of the Securities Exchange Act of 1934, the Registrant has duly caused this report to be signed on its behalf by the undersigned, thereunto duly authorized, on August 29, 2025.</w:t>
      </w:r>
    </w:p>
    <w:p>
      <w:pPr>
        <w:pStyle w:val="TextBody"/>
        <w:bidi w:val="0"/>
        <w:spacing w:before="120" w:after="120"/>
        <w:jc w:val="left"/>
        <w:rPr/>
      </w:pPr>
      <w:r>
        <w:rPr/>
      </w:r>
    </w:p>
    <w:p>
      <w:pPr>
        <w:pStyle w:val="TextBody"/>
        <w:bidi w:val="0"/>
        <w:spacing w:lineRule="auto" w:line="288" w:before="120" w:after="120"/>
        <w:ind w:left="0" w:right="0" w:hanging="450"/>
        <w:jc w:val="right"/>
        <w:rPr>
          <w:color w:val="000000"/>
        </w:rPr>
      </w:pPr>
      <w:r>
        <w:rPr>
          <w:color w:val="000000"/>
        </w:rPr>
        <w:t>    </w:t>
      </w:r>
    </w:p>
    <w:tbl>
      <w:tblPr>
        <w:tblW w:w="4992" w:type="dxa"/>
        <w:jc w:val="right"/>
        <w:tblInd w:w="0" w:type="dxa"/>
        <w:tblLayout w:type="fixed"/>
        <w:tblCellMar>
          <w:top w:w="28" w:type="dxa"/>
          <w:left w:w="28" w:type="dxa"/>
          <w:bottom w:w="28" w:type="dxa"/>
          <w:right w:w="28" w:type="dxa"/>
        </w:tblCellMar>
      </w:tblPr>
      <w:tblGrid>
        <w:gridCol w:w="527"/>
        <w:gridCol w:w="463"/>
        <w:gridCol w:w="463"/>
        <w:gridCol w:w="1029"/>
        <w:gridCol w:w="1029"/>
        <w:gridCol w:w="148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3539"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sans-serif" w:hAnsi="Montserrat;sans-serif"/>
                <w:b w:val="false"/>
                <w:color w:val="000000"/>
                <w:sz w:val="18"/>
              </w:rPr>
              <w:t>/s/ N</w:t>
            </w:r>
            <w:r>
              <w:rPr>
                <w:rFonts w:ascii="Montserrat;sans-serif" w:hAnsi="Montserrat;sans-serif"/>
                <w:b w:val="false"/>
                <w:color w:val="000000"/>
                <w:sz w:val="16"/>
              </w:rPr>
              <w:t>IKESH</w:t>
            </w:r>
            <w:r>
              <w:rPr>
                <w:color w:val="000000"/>
              </w:rPr>
              <w:t xml:space="preserve"> </w:t>
            </w:r>
            <w:r>
              <w:rPr>
                <w:rFonts w:ascii="Montserrat;sans-serif" w:hAnsi="Montserrat;sans-serif"/>
                <w:b w:val="false"/>
                <w:color w:val="000000"/>
                <w:sz w:val="18"/>
              </w:rPr>
              <w:t>A</w:t>
            </w:r>
            <w:r>
              <w:rPr>
                <w:rFonts w:ascii="Montserrat;sans-serif" w:hAnsi="Montserrat;sans-serif"/>
                <w:b w:val="false"/>
                <w:color w:val="000000"/>
                <w:sz w:val="16"/>
              </w:rPr>
              <w:t>RORA</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Nikesh Arora</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i/>
                <w:color w:val="000000"/>
                <w:sz w:val="18"/>
              </w:rPr>
            </w:pPr>
            <w:r>
              <w:rPr>
                <w:rFonts w:ascii="Montserrat;sans-serif" w:hAnsi="Montserrat;sans-serif"/>
                <w:b w:val="false"/>
                <w:i/>
                <w:color w:val="000000"/>
                <w:sz w:val="18"/>
              </w:rPr>
              <w:t>Chairman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94310"/>
                <wp:effectExtent l="0" t="0" r="0" b="0"/>
                <wp:wrapNone/>
                <wp:docPr id="103" name="Frame10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7c6d02d19ae642d183bd6885f5b5223e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Power of Attorney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KNOW ALL THESE PERSONS BY THESE PRESENTS, that each person whose signature appears below constitutes and appoints Nikesh Arora, Dipak Golechha, and Josh Paul,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057"/>
        <w:gridCol w:w="926"/>
        <w:gridCol w:w="795"/>
        <w:gridCol w:w="109"/>
        <w:gridCol w:w="109"/>
        <w:gridCol w:w="109"/>
        <w:gridCol w:w="1812"/>
        <w:gridCol w:w="1776"/>
        <w:gridCol w:w="1796"/>
        <w:gridCol w:w="109"/>
        <w:gridCol w:w="109"/>
        <w:gridCol w:w="109"/>
        <w:gridCol w:w="404"/>
        <w:gridCol w:w="404"/>
        <w:gridCol w:w="581"/>
      </w:tblGrid>
      <w:tr>
        <w:trPr/>
        <w:tc>
          <w:tcPr>
            <w:tcW w:w="105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Date</w:t>
            </w:r>
          </w:p>
        </w:tc>
      </w:tr>
      <w:tr>
        <w:trPr/>
        <w:tc>
          <w:tcPr>
            <w:tcW w:w="2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NIKESH ARORA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Chairman,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Nikesh Arora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 xml:space="preserve">/s/ DIPAK GOLECHHA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Chief Financial Officer (Duly Authorized Officer and Principal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Dipak Golechha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JOSH PAUL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Chief Accounting Officer (Duly Authorized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Josh Paul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LEE KLARICH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Chief Product and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Lee Klarich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/s/ APARNA BAWA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Aparna Bawa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JOHN M. DONOVAN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John M. Donovan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CARL ESCHENBACH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Carl Eschenbach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JAMES J. 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James J. 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Montserrat;sans-serif" w:hAnsi="Montserrat;sans-serif"/>
                <w:b w:val="false"/>
                <w:color w:val="000000"/>
                <w:sz w:val="20"/>
              </w:rPr>
            </w:pPr>
            <w:r>
              <w:rPr>
                <w:rFonts w:ascii="Montserrat;sans-serif" w:hAnsi="Montserrat;sans-serif"/>
                <w:b w:val="false"/>
                <w:color w:val="000000"/>
                <w:sz w:val="20"/>
              </w:rPr>
              <w:t>/s/ RALPH HAMERS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Ralph Hamers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RT HON SIR JOHN 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Rt Hon Sir John 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MARY PAT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Mary Pat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HELLE THORNING-SCHMIDT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Helle Thorning-Schmidt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LORRAINE TWOHILL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r>
      <w:tr>
        <w:trPr/>
        <w:tc>
          <w:tcPr>
            <w:tcW w:w="2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Lorraine Twohill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98" w:after="283"/>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94310"/>
                <wp:effectExtent l="0" t="0" r="0" b="0"/>
                <wp:wrapNone/>
                <wp:docPr id="104" name="Frame10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- 103 </w:t>
                      </w:r>
                      <w:r>
                        <w:rPr>
                          <w:rFonts w:ascii="Montserrat;sans-serif" w:hAnsi="Montserrat;sans-serif"/>
                          <w:b/>
                          <w:color w:val="000000"/>
                          <w:sz w:val="16"/>
                        </w:rPr>
                        <w:t>-</w:t>
                      </w:r>
                    </w:p>
                  </w:txbxContent>
                </v:textbox>
                <w10:wrap type="none"/>
              </v:rect>
            </w:pict>
          </mc:Fallback>
        </mc:AlternateContent>
      </w:r>
    </w:p>
    <w:p>
      <w:pPr>
        <w:pStyle w:val="TextBody"/>
        <w:bidi w:val="0"/>
        <w:spacing w:before="198" w:after="283"/>
        <w:jc w:val="right"/>
        <w:rPr/>
      </w:pPr>
      <w:r>
        <w:rPr/>
      </w:r>
    </w:p>
    <w:p>
      <w:pPr>
        <w:pStyle w:val="TextBody"/>
        <w:bidi w:val="0"/>
        <w:spacing w:lineRule="auto" w:line="288" w:before="78" w:after="283"/>
        <w:jc w:val="center"/>
        <w:rPr>
          <w:rFonts w:ascii="Times New Roman;serif" w:hAnsi="Times New Roman;serif"/>
          <w:b/>
          <w:color w:val="000000"/>
          <w:sz w:val="22"/>
        </w:rPr>
      </w:pPr>
      <w:r>
        <w:rPr>
          <w:rFonts w:ascii="Times New Roman;serif" w:hAnsi="Times New Roman;serif"/>
          <w:b/>
          <w:color w:val="000000"/>
          <w:sz w:val="22"/>
        </w:rPr>
        <w:t>RESTATED CERTIFICATE OF INCORPORATION</w:t>
      </w:r>
    </w:p>
    <w:p>
      <w:pPr>
        <w:pStyle w:val="TextBody"/>
        <w:bidi w:val="0"/>
        <w:spacing w:lineRule="auto" w:line="288" w:before="198" w:after="283"/>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88" w:before="198" w:after="283"/>
        <w:jc w:val="center"/>
        <w:rPr>
          <w:rFonts w:ascii="Times New Roman;serif" w:hAnsi="Times New Roman;serif"/>
          <w:b/>
          <w:color w:val="000000"/>
          <w:sz w:val="22"/>
        </w:rPr>
      </w:pPr>
      <w:r>
        <w:rPr>
          <w:rFonts w:ascii="Times New Roman;serif" w:hAnsi="Times New Roman;serif"/>
          <w:b/>
          <w:color w:val="000000"/>
          <w:sz w:val="22"/>
        </w:rPr>
        <w:t>PALO ALTO NETWORKS, INC.</w:t>
      </w:r>
    </w:p>
    <w:p>
      <w:pPr>
        <w:pStyle w:val="TextBody"/>
        <w:bidi w:val="0"/>
        <w:spacing w:lineRule="auto" w:line="288" w:before="198" w:after="283"/>
        <w:jc w:val="center"/>
        <w:rPr>
          <w:rFonts w:ascii="Times New Roman;serif" w:hAnsi="Times New Roman;serif"/>
          <w:b w:val="false"/>
          <w:color w:val="000000"/>
          <w:sz w:val="22"/>
        </w:rPr>
      </w:pPr>
      <w:r>
        <w:rPr>
          <w:rFonts w:ascii="Times New Roman;serif" w:hAnsi="Times New Roman;serif"/>
          <w:b w:val="false"/>
          <w:color w:val="000000"/>
          <w:sz w:val="22"/>
        </w:rPr>
        <w:t>a Delaware Corporation</w:t>
      </w:r>
    </w:p>
    <w:p>
      <w:pPr>
        <w:pStyle w:val="TextBody"/>
        <w:bidi w:val="0"/>
        <w:spacing w:lineRule="auto" w:line="288" w:before="198" w:after="283"/>
        <w:jc w:val="left"/>
        <w:rPr/>
      </w:pPr>
      <w:r>
        <w:rPr>
          <w:rFonts w:ascii="Times New Roman;serif" w:hAnsi="Times New Roman;serif"/>
          <w:b w:val="false"/>
          <w:color w:val="000000"/>
          <w:sz w:val="22"/>
        </w:rPr>
        <w:t>Palo Alto Networks, Inc., a corporation organized and existing under the laws of the State of Delaware (the “</w:t>
      </w:r>
      <w:r>
        <w:rPr>
          <w:rFonts w:ascii="Times New Roman;serif" w:hAnsi="Times New Roman;serif"/>
          <w:b/>
          <w:color w:val="000000"/>
          <w:sz w:val="22"/>
        </w:rPr>
        <w:t>Corporation</w:t>
      </w:r>
      <w:r>
        <w:rPr>
          <w:color w:val="000000"/>
        </w:rPr>
        <w:t>”</w:t>
      </w:r>
      <w:r>
        <w:rPr>
          <w:rFonts w:ascii="Times New Roman;serif" w:hAnsi="Times New Roman;serif"/>
          <w:b w:val="false"/>
          <w:color w:val="000000"/>
          <w:sz w:val="22"/>
        </w:rPr>
        <w:t>), hereby certifies as follows:</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A. The original Certificate of Incorporation of the Corporation was filed with the Secretary of State of the State of Delaware on February 28, 2005.</w:t>
      </w:r>
    </w:p>
    <w:p>
      <w:pPr>
        <w:pStyle w:val="TextBody"/>
        <w:bidi w:val="0"/>
        <w:spacing w:lineRule="auto" w:line="288" w:before="198" w:after="283"/>
        <w:jc w:val="left"/>
        <w:rPr/>
      </w:pPr>
      <w:r>
        <w:rPr>
          <w:rFonts w:ascii="Times New Roman;serif" w:hAnsi="Times New Roman;serif"/>
          <w:b w:val="false"/>
          <w:color w:val="000000"/>
          <w:sz w:val="22"/>
        </w:rPr>
        <w:t>B. This Restated Certificate of Incorporation was duly adopted in accordance with Sections 242 and 245 of the General Corporation Law of the State of Delaware (the “</w:t>
      </w:r>
      <w:r>
        <w:rPr>
          <w:rFonts w:ascii="Times New Roman;serif" w:hAnsi="Times New Roman;serif"/>
          <w:b/>
          <w:color w:val="000000"/>
          <w:sz w:val="22"/>
        </w:rPr>
        <w:t>DGCL</w:t>
      </w:r>
      <w:r>
        <w:rPr>
          <w:color w:val="000000"/>
        </w:rPr>
        <w:t>”</w:t>
      </w:r>
      <w:r>
        <w:rPr>
          <w:rFonts w:ascii="Times New Roman;serif" w:hAnsi="Times New Roman;serif"/>
          <w:b w:val="false"/>
          <w:color w:val="000000"/>
          <w:sz w:val="22"/>
        </w:rPr>
        <w:t>), and restates, integrates and further amends the provisions of the Corporation’s Certificate of Incorporation, and has been duly approved by the written consent of the stockholders of the Corporation in accordance with Section 228 of the DGCL.</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C. The text of the Certificate of Incorporation of the Corporation is hereby amended and restated in its entirety to read as follows:</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I</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The name of the Corporation is Palo Alto Networks, Inc.</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II</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The address of the Corporation’s registered office in the State of Delaware is 3500 South DuPont Highway, City of Dover, County of Kent, DE 19901. The name of its registered agent at such address is Incorporating Services, Ltd.</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The nature of the business or purpose to be conducted or promoted by the Corporation is to engage in any lawful act or activity for which a corporation may be organized under the DGCL.</w:t>
      </w:r>
    </w:p>
    <w:p>
      <w:pPr>
        <w:pStyle w:val="TextBody"/>
        <w:bidi w:val="0"/>
        <w:spacing w:lineRule="auto" w:line="288" w:before="396" w:after="283"/>
        <w:jc w:val="center"/>
        <w:rPr>
          <w:rFonts w:ascii="Times New Roman;serif" w:hAnsi="Times New Roman;serif"/>
          <w:b/>
          <w:color w:val="000000"/>
          <w:sz w:val="22"/>
        </w:rPr>
      </w:pPr>
      <w:r>
        <w:rPr>
          <w:rFonts w:ascii="Times New Roman;serif" w:hAnsi="Times New Roman;serif"/>
          <w:b/>
          <w:color w:val="000000"/>
          <w:sz w:val="22"/>
        </w:rPr>
        <w:t>ARTICLE IV</w:t>
      </w:r>
    </w:p>
    <w:p>
      <w:pPr>
        <w:pStyle w:val="TextBody"/>
        <w:bidi w:val="0"/>
        <w:spacing w:lineRule="auto" w:line="288" w:before="198" w:after="283"/>
        <w:jc w:val="left"/>
        <w:rPr/>
      </w:pPr>
      <w:r>
        <w:rPr>
          <w:rFonts w:ascii="Times New Roman;serif" w:hAnsi="Times New Roman;serif"/>
          <w:b w:val="false"/>
          <w:color w:val="000000"/>
          <w:sz w:val="22"/>
        </w:rPr>
        <w:t xml:space="preserve">4.1 </w:t>
      </w:r>
      <w:r>
        <w:rPr>
          <w:rFonts w:ascii="Times New Roman;serif" w:hAnsi="Times New Roman;serif"/>
          <w:b w:val="false"/>
          <w:color w:val="000000"/>
          <w:sz w:val="22"/>
          <w:u w:val="single"/>
        </w:rPr>
        <w:t>Authorized Capital Stock</w:t>
      </w:r>
      <w:r>
        <w:rPr>
          <w:rFonts w:ascii="Times New Roman;serif" w:hAnsi="Times New Roman;serif"/>
          <w:b w:val="false"/>
          <w:color w:val="000000"/>
          <w:sz w:val="22"/>
        </w:rPr>
        <w:t>. The total number of shares of all classes of capital stock that the Corporation is authorized to issue is 1,100,000,000 shares, consisting of 1,000,000,000 shares of Common Stock, par value $0.0001 per share (the “</w:t>
      </w:r>
      <w:r>
        <w:rPr>
          <w:rFonts w:ascii="Times New Roman;serif" w:hAnsi="Times New Roman;serif"/>
          <w:b/>
          <w:color w:val="000000"/>
          <w:sz w:val="22"/>
        </w:rPr>
        <w:t>Common Stock</w:t>
      </w:r>
      <w:r>
        <w:rPr>
          <w:color w:val="000000"/>
        </w:rPr>
        <w:t>”</w:t>
      </w:r>
      <w:r>
        <w:rPr>
          <w:rFonts w:ascii="Times New Roman;serif" w:hAnsi="Times New Roman;serif"/>
          <w:b w:val="false"/>
          <w:color w:val="000000"/>
          <w:sz w:val="22"/>
        </w:rPr>
        <w:t>), and 100,000,000 shares of Preferred Stock, par value $0.0001 per share (the “</w:t>
      </w:r>
      <w:r>
        <w:rPr>
          <w:rFonts w:ascii="Times New Roman;serif" w:hAnsi="Times New Roman;serif"/>
          <w:b/>
          <w:color w:val="000000"/>
          <w:sz w:val="22"/>
        </w:rPr>
        <w:t>Preferred Stock</w:t>
      </w:r>
      <w:r>
        <w:rPr>
          <w:color w:val="000000"/>
        </w:rPr>
        <w:t>”</w:t>
      </w:r>
      <w:r>
        <w:rPr>
          <w:rFonts w:ascii="Times New Roman;serif" w:hAnsi="Times New Roman;serif"/>
          <w:b w:val="false"/>
          <w:color w:val="000000"/>
          <w:sz w:val="22"/>
        </w:rPr>
        <w:t>).</w:t>
      </w:r>
    </w:p>
    <w:p>
      <w:pPr>
        <w:pStyle w:val="TextBody"/>
        <w:bidi w:val="0"/>
        <w:spacing w:lineRule="auto" w:line="288" w:before="198" w:after="283"/>
        <w:jc w:val="left"/>
        <w:rPr/>
      </w:pPr>
      <w:r>
        <w:rPr>
          <w:rFonts w:ascii="Times New Roman;serif" w:hAnsi="Times New Roman;serif"/>
          <w:b w:val="false"/>
          <w:color w:val="000000"/>
          <w:sz w:val="22"/>
        </w:rPr>
        <w:t xml:space="preserve">4.2 </w:t>
      </w:r>
      <w:r>
        <w:rPr>
          <w:rFonts w:ascii="Times New Roman;serif" w:hAnsi="Times New Roman;serif"/>
          <w:b w:val="false"/>
          <w:color w:val="000000"/>
          <w:sz w:val="22"/>
          <w:u w:val="single"/>
        </w:rPr>
        <w:t>Increase or Decrease in Authorized Capital Stock</w:t>
      </w:r>
      <w:r>
        <w:rPr>
          <w:rFonts w:ascii="Times New Roman;serif" w:hAnsi="Times New Roman;serif"/>
          <w:b w:val="false"/>
          <w:color w:val="000000"/>
          <w:sz w:val="22"/>
        </w:rPr>
        <w:t>. The number of authorized shares of Preferred Stock or Common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Section 4.4 of this Article IV.</w:t>
      </w:r>
    </w:p>
    <w:p>
      <w:pPr>
        <w:pStyle w:val="TextBody"/>
        <w:bidi w:val="0"/>
        <w:spacing w:lineRule="auto" w:line="288" w:before="360" w:after="283"/>
        <w:jc w:val="left"/>
        <w:rPr/>
      </w:pPr>
      <w:r>
        <w:rPr>
          <w:rFonts w:ascii="Times New Roman;serif" w:hAnsi="Times New Roman;serif"/>
          <w:b w:val="false"/>
          <w:color w:val="000000"/>
          <w:sz w:val="22"/>
        </w:rPr>
        <w:t xml:space="preserve">4.3 </w:t>
      </w:r>
      <w:r>
        <w:rPr>
          <w:rFonts w:ascii="Times New Roman;serif" w:hAnsi="Times New Roman;serif"/>
          <w:b w:val="false"/>
          <w:color w:val="000000"/>
          <w:sz w:val="22"/>
          <w:u w:val="single"/>
        </w:rPr>
        <w:t>Common Stock</w:t>
      </w:r>
      <w:r>
        <w:rPr>
          <w:rFonts w:ascii="Times New Roman;serif" w:hAnsi="Times New Roman;serif"/>
          <w:b w:val="false"/>
          <w:color w:val="000000"/>
          <w:sz w:val="22"/>
        </w:rPr>
        <w:t>.</w:t>
      </w:r>
    </w:p>
    <w:p>
      <w:pPr>
        <w:pStyle w:val="TextBody"/>
        <w:bidi w:val="0"/>
        <w:spacing w:lineRule="auto" w:line="288" w:before="240" w:after="283"/>
        <w:jc w:val="left"/>
        <w:rPr/>
      </w:pPr>
      <w:r>
        <w:rPr>
          <w:rFonts w:ascii="Times New Roman;serif" w:hAnsi="Times New Roman;serif"/>
          <w:b w:val="false"/>
          <w:color w:val="000000"/>
          <w:sz w:val="22"/>
        </w:rPr>
        <w:t>(a) The holders of shares of Common Stock shall be entitled to one vote for each such share on each matter properly submitted to the stockholders on which the holders of shares of Common Stock are entitled to vote. Except as otherwise required by law or this certificate of incorporation (this “</w:t>
      </w:r>
      <w:r>
        <w:rPr>
          <w:rFonts w:ascii="Times New Roman;serif" w:hAnsi="Times New Roman;serif"/>
          <w:b/>
          <w:color w:val="000000"/>
          <w:sz w:val="22"/>
        </w:rPr>
        <w:t>Certificate of Incorporation</w:t>
      </w:r>
      <w:r>
        <w:rPr>
          <w:color w:val="000000"/>
        </w:rPr>
        <w:t xml:space="preserve">” </w:t>
      </w:r>
      <w:r>
        <w:rPr>
          <w:rFonts w:ascii="Times New Roman;serif" w:hAnsi="Times New Roman;serif"/>
          <w:b w:val="false"/>
          <w:color w:val="000000"/>
          <w:sz w:val="22"/>
        </w:rPr>
        <w:t>which term, as used herein, shall mean the certificate of incorporation of the Corporation, as amended from time to time, including the terms of any certificate of designations of any series of Preferred Stock), and subject to the rights of the holders of Preferred Stock, at any annual or special meeting of the stockholders the holders of shares of Common Stock shall have the right to vote for the election of directors and on all other matters properly submitted to a vote of the stockholders; provided, however,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thereon, of one or more outstanding series of Preferred Stock if the holders of such affected series are entitled, either separately or together with the holders of one more other such series, to vote thereon pursuant to this Certificate of Incorporation (including, without limitation, by any certificate of designations relating to any series of Preferred Stock) or pursuant to the DGCL.</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(b) 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from time to time out of any assets or funds of the Corporation legally available therefor and shall share equally on a per share basis in such dividends and distributions.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(c) 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the remaining assets of the Corporation available for distribution to its stockholders, ratably in proportion to the number of shares of Common Stock held by them.</w:t>
      </w:r>
    </w:p>
    <w:p>
      <w:pPr>
        <w:pStyle w:val="TextBody"/>
        <w:bidi w:val="0"/>
        <w:spacing w:lineRule="auto" w:line="288" w:before="360" w:after="283"/>
        <w:jc w:val="left"/>
        <w:rPr/>
      </w:pPr>
      <w:r>
        <w:rPr>
          <w:rFonts w:ascii="Times New Roman;serif" w:hAnsi="Times New Roman;serif"/>
          <w:b w:val="false"/>
          <w:color w:val="000000"/>
          <w:sz w:val="22"/>
        </w:rPr>
        <w:t xml:space="preserve">4.4 </w:t>
      </w:r>
      <w:r>
        <w:rPr>
          <w:rFonts w:ascii="Times New Roman;serif" w:hAnsi="Times New Roman;serif"/>
          <w:b w:val="false"/>
          <w:color w:val="000000"/>
          <w:sz w:val="22"/>
          <w:u w:val="single"/>
        </w:rPr>
        <w:t>Preferred Stock</w:t>
      </w:r>
      <w:r>
        <w:rPr>
          <w:rFonts w:ascii="Times New Roman;serif" w:hAnsi="Times New Roman;serif"/>
          <w:b w:val="false"/>
          <w:color w:val="000000"/>
          <w:sz w:val="22"/>
        </w:rPr>
        <w:t>.</w:t>
      </w:r>
    </w:p>
    <w:p>
      <w:pPr>
        <w:pStyle w:val="TextBody"/>
        <w:bidi w:val="0"/>
        <w:spacing w:lineRule="auto" w:line="288" w:before="198" w:after="283"/>
        <w:jc w:val="left"/>
        <w:rPr>
          <w:rFonts w:ascii="Times New Roman;serif" w:hAnsi="Times New Roman;serif"/>
          <w:b w:val="false"/>
          <w:color w:val="000000"/>
          <w:sz w:val="22"/>
        </w:rPr>
      </w:pPr>
      <w:r>
        <w:rPr>
          <w:rFonts w:ascii="Times New Roman;serif" w:hAnsi="Times New Roman;serif"/>
          <w:b w:val="false"/>
          <w:color w:val="000000"/>
          <w:sz w:val="22"/>
        </w:rPr>
        <w:t>(a)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and to set forth in a certification of designations filed pursuant to the DGCL the powers, designations, preferences and relative, participation, optional or other rights, if any, and the qualifications, limitations or restrictions thereof, if any, of any wholly unissued series of Preferred Stock, including without limitation authority to fix by resolution or resolutions that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pStyle w:val="TextBody"/>
        <w:bidi w:val="0"/>
        <w:spacing w:lineRule="auto" w:line="288" w:before="258" w:after="283"/>
        <w:jc w:val="left"/>
        <w:rPr>
          <w:rFonts w:ascii="Times New Roman;serif" w:hAnsi="Times New Roman;serif"/>
          <w:b w:val="false"/>
          <w:color w:val="000000"/>
          <w:sz w:val="22"/>
        </w:rPr>
      </w:pPr>
      <w:r>
        <w:rPr>
          <w:rFonts w:ascii="Times New Roman;serif" w:hAnsi="Times New Roman;serif"/>
          <w:b w:val="false"/>
          <w:color w:val="000000"/>
          <w:sz w:val="22"/>
        </w:rPr>
        <w:t>(b)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V</w:t>
      </w:r>
    </w:p>
    <w:p>
      <w:pPr>
        <w:pStyle w:val="TextBody"/>
        <w:bidi w:val="0"/>
        <w:spacing w:lineRule="auto" w:line="288" w:before="258" w:after="283"/>
        <w:jc w:val="left"/>
        <w:rPr/>
      </w:pPr>
      <w:r>
        <w:rPr>
          <w:rFonts w:ascii="Times New Roman;serif" w:hAnsi="Times New Roman;serif"/>
          <w:b w:val="false"/>
          <w:color w:val="000000"/>
          <w:sz w:val="22"/>
        </w:rPr>
        <w:t xml:space="preserve">5.1 </w:t>
      </w:r>
      <w:r>
        <w:rPr>
          <w:rFonts w:ascii="Times New Roman;serif" w:hAnsi="Times New Roman;serif"/>
          <w:b w:val="false"/>
          <w:color w:val="000000"/>
          <w:sz w:val="22"/>
          <w:u w:val="single"/>
        </w:rPr>
        <w:t>General Powers</w:t>
      </w:r>
      <w:r>
        <w:rPr>
          <w:rFonts w:ascii="Times New Roman;serif" w:hAnsi="Times New Roman;serif"/>
          <w:b w:val="false"/>
          <w:color w:val="000000"/>
          <w:sz w:val="22"/>
        </w:rPr>
        <w:t>. The business and affairs of the Corporation shall be managed by or under the direction of the Board of Directors.</w:t>
      </w:r>
    </w:p>
    <w:p>
      <w:pPr>
        <w:pStyle w:val="TextBody"/>
        <w:bidi w:val="0"/>
        <w:spacing w:lineRule="auto" w:line="288" w:before="258" w:after="283"/>
        <w:jc w:val="left"/>
        <w:rPr/>
      </w:pPr>
      <w:r>
        <w:rPr>
          <w:rFonts w:ascii="Times New Roman;serif" w:hAnsi="Times New Roman;serif"/>
          <w:b w:val="false"/>
          <w:color w:val="000000"/>
          <w:sz w:val="22"/>
        </w:rPr>
        <w:t xml:space="preserve">5.2 </w:t>
      </w:r>
      <w:r>
        <w:rPr>
          <w:rFonts w:ascii="Times New Roman;serif" w:hAnsi="Times New Roman;serif"/>
          <w:b w:val="false"/>
          <w:color w:val="000000"/>
          <w:sz w:val="22"/>
          <w:u w:val="single"/>
        </w:rPr>
        <w:t>Number of Directors; Election; Term</w:t>
      </w:r>
      <w:r>
        <w:rPr>
          <w:rFonts w:ascii="Times New Roman;serif" w:hAnsi="Times New Roman;serif"/>
          <w:b w:val="false"/>
          <w:color w:val="000000"/>
          <w:sz w:val="22"/>
        </w:rPr>
        <w:t>.</w:t>
      </w:r>
    </w:p>
    <w:p>
      <w:pPr>
        <w:pStyle w:val="TextBody"/>
        <w:bidi w:val="0"/>
        <w:spacing w:lineRule="auto" w:line="288" w:before="258" w:after="283"/>
        <w:jc w:val="left"/>
        <w:rPr>
          <w:rFonts w:ascii="Times New Roman;serif" w:hAnsi="Times New Roman;serif"/>
          <w:b w:val="false"/>
          <w:color w:val="000000"/>
          <w:sz w:val="22"/>
        </w:rPr>
      </w:pPr>
      <w:r>
        <w:rPr>
          <w:rFonts w:ascii="Times New Roman;serif" w:hAnsi="Times New Roman;serif"/>
          <w:b w:val="false"/>
          <w:color w:val="000000"/>
          <w:sz w:val="22"/>
        </w:rPr>
        <w:t>(a) Subject to the rights of holders of any series of Preferred Stock with respect to the election of directors, the number of directors that constitutes the entire Board of Directors of the Corporation shall be fixed solely by resolution of the Board of Directors.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(b) Subject to the rights of holders of any series of Preferred Stock with respect to the election of directors, effective upon the closing date (the “Effective Date”) of the initial sale of shares of common stock in the Corporation’s initial public offering pursuant to an effective registration statement filed under the Securities Act of 1933, as amended, the directors of the Corporation shall be divided into three classes as nearly equal in size as is practicable, hereby designated Class I, Class II and Class III. The initial assignment of members of the Board of Directors to each such class shall be made by the Board of Directors. The term of office of the initial Class I directors shall expire at the first regularly-scheduled annual meeting of the stockholders following the Effective Date, the term of office of the initial Class II directors shall expire at the second annual meeting of the stockholders following the Effective Date and the term of office of the initial Class III directors shall expire at the third annual meeting of the stockholders following the Effective Date. At each annual meeting of stockholders, commencing with the first regularly-scheduled annual meeting of stockholders following the Effective Date,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Subject to the rights of holders of any series of Preferred Stock with respect to the election of directors, if the number of directors that constitutes the Board of Directors is changed,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(c) Notwithstanding the foregoing provisions of this Section 5.2, and subject to the rights of holders of any series of Preferred Stock with respect to the election of directors, each director shall serve until his or her successor is duly elected and qualified or until his or her earlier death, resignation or removal.</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 Elections of directors need not be by written ballot unless the Bylaws of the Corporation shall so provide.</w:t>
      </w:r>
    </w:p>
    <w:p>
      <w:pPr>
        <w:pStyle w:val="TextBody"/>
        <w:bidi w:val="0"/>
        <w:spacing w:lineRule="auto" w:line="288" w:before="240" w:after="283"/>
        <w:jc w:val="left"/>
        <w:rPr/>
      </w:pPr>
      <w:r>
        <w:rPr>
          <w:rFonts w:ascii="Times New Roman;serif" w:hAnsi="Times New Roman;serif"/>
          <w:b w:val="false"/>
          <w:color w:val="000000"/>
          <w:sz w:val="22"/>
        </w:rPr>
        <w:t xml:space="preserve">5.3 </w:t>
      </w:r>
      <w:r>
        <w:rPr>
          <w:rFonts w:ascii="Times New Roman;serif" w:hAnsi="Times New Roman;serif"/>
          <w:b w:val="false"/>
          <w:color w:val="000000"/>
          <w:sz w:val="22"/>
          <w:u w:val="single"/>
        </w:rPr>
        <w:t>Removal</w:t>
      </w:r>
      <w:r>
        <w:rPr>
          <w:rFonts w:ascii="Times New Roman;serif" w:hAnsi="Times New Roman;serif"/>
          <w:b w:val="false"/>
          <w:color w:val="000000"/>
          <w:sz w:val="22"/>
        </w:rPr>
        <w:t>. Subject to the rights of holders of any series of Preferred Stock with respect to the election of directors, a director may be removed from office by the stockholders of the Corporation only for cause.</w:t>
      </w:r>
    </w:p>
    <w:p>
      <w:pPr>
        <w:pStyle w:val="TextBody"/>
        <w:bidi w:val="0"/>
        <w:spacing w:lineRule="auto" w:line="288" w:before="240" w:after="283"/>
        <w:jc w:val="left"/>
        <w:rPr/>
      </w:pPr>
      <w:r>
        <w:rPr>
          <w:rFonts w:ascii="Times New Roman;serif" w:hAnsi="Times New Roman;serif"/>
          <w:b w:val="false"/>
          <w:color w:val="000000"/>
          <w:sz w:val="22"/>
        </w:rPr>
        <w:t xml:space="preserve">5.4 </w:t>
      </w:r>
      <w:r>
        <w:rPr>
          <w:rFonts w:ascii="Times New Roman;serif" w:hAnsi="Times New Roman;serif"/>
          <w:b w:val="false"/>
          <w:color w:val="000000"/>
          <w:sz w:val="22"/>
          <w:u w:val="single"/>
        </w:rPr>
        <w:t>Vacancies and Newly Created Directorships</w:t>
      </w:r>
      <w:r>
        <w:rPr>
          <w:rFonts w:ascii="Times New Roman;serif" w:hAnsi="Times New Roman;serif"/>
          <w:b w:val="false"/>
          <w:color w:val="000000"/>
          <w:sz w:val="22"/>
        </w:rPr>
        <w:t>. Subject to the rights of holders of any series of Preferred Stock with respect to the election of directors, and except as otherwise provided in the DGCL, 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election of the class for which such director shall have been assigned by the Board of Directors and until his or her successor shall be duly elected and qualified.</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VI</w:t>
      </w:r>
    </w:p>
    <w:p>
      <w:pPr>
        <w:pStyle w:val="TextBody"/>
        <w:bidi w:val="0"/>
        <w:spacing w:lineRule="auto" w:line="288" w:before="258" w:after="283"/>
        <w:jc w:val="left"/>
        <w:rPr>
          <w:rFonts w:ascii="Times New Roman;serif" w:hAnsi="Times New Roman;serif"/>
          <w:b w:val="false"/>
          <w:color w:val="000000"/>
          <w:sz w:val="22"/>
        </w:rPr>
      </w:pPr>
      <w:r>
        <w:rPr>
          <w:rFonts w:ascii="Times New Roman;serif" w:hAnsi="Times New Roman;serif"/>
          <w:b w:val="false"/>
          <w:color w:val="000000"/>
          <w:sz w:val="22"/>
        </w:rPr>
        <w:t>In furtherance and not in limitation of the powers conferred by statute, the Board of Directors of the Corporation is expressly authorized to adopt, amend or repeal the Bylaws of the Corporation.</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VII</w:t>
      </w:r>
    </w:p>
    <w:p>
      <w:pPr>
        <w:pStyle w:val="TextBody"/>
        <w:bidi w:val="0"/>
        <w:spacing w:lineRule="auto" w:line="288" w:before="258" w:after="60"/>
        <w:jc w:val="left"/>
        <w:rPr/>
      </w:pPr>
      <w:r>
        <w:rPr>
          <w:rFonts w:ascii="Times New Roman;serif" w:hAnsi="Times New Roman;serif"/>
          <w:b w:val="false"/>
          <w:color w:val="000000"/>
          <w:sz w:val="22"/>
        </w:rPr>
        <w:t xml:space="preserve">7.1 </w:t>
      </w:r>
      <w:r>
        <w:rPr>
          <w:rFonts w:ascii="Times New Roman;serif" w:hAnsi="Times New Roman;serif"/>
          <w:b w:val="false"/>
          <w:color w:val="000000"/>
          <w:sz w:val="22"/>
          <w:u w:val="single"/>
        </w:rPr>
        <w:t>No Action by Written Consent of Stockholders</w:t>
      </w:r>
      <w:r>
        <w:rPr>
          <w:rFonts w:ascii="Times New Roman;serif" w:hAnsi="Times New Roman;serif"/>
          <w:b w:val="false"/>
          <w:color w:val="000000"/>
          <w:sz w:val="22"/>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and may not be effected by written consent in lieu of a meeting.</w:t>
      </w:r>
    </w:p>
    <w:p>
      <w:pPr>
        <w:pStyle w:val="TextBody"/>
        <w:bidi w:val="0"/>
        <w:spacing w:lineRule="auto" w:line="288" w:before="258" w:after="60"/>
        <w:jc w:val="left"/>
        <w:rPr/>
      </w:pPr>
      <w:r>
        <w:rPr>
          <w:rFonts w:ascii="Times New Roman;serif" w:hAnsi="Times New Roman;serif"/>
          <w:b w:val="false"/>
          <w:color w:val="000000"/>
          <w:sz w:val="22"/>
        </w:rPr>
        <w:t xml:space="preserve">7.2 </w:t>
      </w:r>
      <w:r>
        <w:rPr>
          <w:rFonts w:ascii="Times New Roman;serif" w:hAnsi="Times New Roman;serif"/>
          <w:b w:val="false"/>
          <w:color w:val="000000"/>
          <w:sz w:val="22"/>
          <w:u w:val="single"/>
        </w:rPr>
        <w:t>Special Meetings</w:t>
      </w:r>
      <w:r>
        <w:rPr>
          <w:rFonts w:ascii="Times New Roman;serif" w:hAnsi="Times New Roman;serif"/>
          <w:b w:val="false"/>
          <w:color w:val="000000"/>
          <w:sz w:val="22"/>
        </w:rPr>
        <w:t>. Except as otherwise expressly provided by the terms of any series of Preferred Stock permitting the holders of such series of Preferred Stock to call a special meeting of the holders of such series, special meetings of stockholders of the Corporation may be called only by the Board of Directors, the chairperson of the Board of Directors, the chief executive officer or the president (in the absence of a chief executive officer), and the ability of the stockholders to call a special meeting is hereby specifically denied. The Board of Directors may cancel, postpone or reschedule any previously scheduled special meeting at any time, before or after the notice for such meeting has been sent to the stockholders.</w:t>
      </w:r>
    </w:p>
    <w:p>
      <w:pPr>
        <w:pStyle w:val="TextBody"/>
        <w:bidi w:val="0"/>
        <w:spacing w:lineRule="auto" w:line="288" w:before="258" w:after="283"/>
        <w:jc w:val="left"/>
        <w:rPr/>
      </w:pPr>
      <w:r>
        <w:rPr>
          <w:rFonts w:ascii="Times New Roman;serif" w:hAnsi="Times New Roman;serif"/>
          <w:b w:val="false"/>
          <w:color w:val="000000"/>
          <w:sz w:val="22"/>
        </w:rPr>
        <w:t xml:space="preserve">7.3 </w:t>
      </w:r>
      <w:r>
        <w:rPr>
          <w:rFonts w:ascii="Times New Roman;serif" w:hAnsi="Times New Roman;serif"/>
          <w:b w:val="false"/>
          <w:color w:val="000000"/>
          <w:sz w:val="22"/>
          <w:u w:val="single"/>
        </w:rPr>
        <w:t>Advance Notice</w:t>
      </w:r>
      <w:r>
        <w:rPr>
          <w:rFonts w:ascii="Times New Roman;serif" w:hAnsi="Times New Roman;serif"/>
          <w:b w:val="false"/>
          <w:color w:val="000000"/>
          <w:sz w:val="22"/>
        </w:rPr>
        <w:t>. Advance notice of stockholder nominations for the election of directors and of business to be brought by stockholders before any meeting of the stockholders of the Corporation shall be given in the manner provided in the Bylaws of the Corporation.</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VIII</w:t>
      </w:r>
    </w:p>
    <w:p>
      <w:pPr>
        <w:pStyle w:val="TextBody"/>
        <w:bidi w:val="0"/>
        <w:spacing w:lineRule="auto" w:line="288" w:before="240" w:after="283"/>
        <w:jc w:val="left"/>
        <w:rPr/>
      </w:pPr>
      <w:r>
        <w:rPr>
          <w:rFonts w:ascii="Times New Roman;serif" w:hAnsi="Times New Roman;serif"/>
          <w:b w:val="false"/>
          <w:color w:val="000000"/>
          <w:sz w:val="22"/>
        </w:rPr>
        <w:t xml:space="preserve">8.1 </w:t>
      </w:r>
      <w:r>
        <w:rPr>
          <w:rFonts w:ascii="Times New Roman;serif" w:hAnsi="Times New Roman;serif"/>
          <w:b w:val="false"/>
          <w:color w:val="000000"/>
          <w:sz w:val="22"/>
          <w:u w:val="single"/>
        </w:rPr>
        <w:t>Limitation of Personal Liability</w:t>
      </w:r>
      <w:r>
        <w:rPr>
          <w:rFonts w:ascii="Times New Roman;serif" w:hAnsi="Times New Roman;serif"/>
          <w:b w:val="false"/>
          <w:color w:val="000000"/>
          <w:sz w:val="22"/>
        </w:rPr>
        <w:t>. 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lineRule="auto" w:line="288" w:before="240" w:after="283"/>
        <w:jc w:val="left"/>
        <w:rPr/>
      </w:pPr>
      <w:r>
        <w:rPr>
          <w:rFonts w:ascii="Times New Roman;serif" w:hAnsi="Times New Roman;serif"/>
          <w:b w:val="false"/>
          <w:color w:val="000000"/>
          <w:sz w:val="22"/>
        </w:rPr>
        <w:t xml:space="preserve">8.2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88" w:before="240" w:after="283"/>
        <w:jc w:val="left"/>
        <w:rPr/>
      </w:pPr>
      <w:r>
        <w:rPr>
          <w:rFonts w:ascii="Times New Roman;serif" w:hAnsi="Times New Roman;serif"/>
          <w:b w:val="false"/>
          <w:color w:val="000000"/>
          <w:sz w:val="22"/>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serif" w:hAnsi="Times New Roman;serif"/>
          <w:b/>
          <w:color w:val="000000"/>
          <w:sz w:val="22"/>
        </w:rPr>
        <w:t>Proceeding</w:t>
      </w:r>
      <w:r>
        <w:rPr>
          <w:color w:val="000000"/>
        </w:rPr>
        <w:t>”</w:t>
      </w:r>
      <w:r>
        <w:rPr>
          <w:rFonts w:ascii="Times New Roman;serif" w:hAnsi="Times New Roman;serif"/>
          <w:b w:val="false"/>
          <w:color w:val="000000"/>
          <w:sz w:val="22"/>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further limit or eliminate the liability of directors) and shall not adversely affect any right or protection of a director of the Corporation existing at the time of such repeal or amendment or adoption of such inconsistent provision with respect to acts or omissions occurring prior to such repeal or amendment or adoption of such inconsistent provision.</w:t>
      </w:r>
    </w:p>
    <w:p>
      <w:pPr>
        <w:pStyle w:val="TextBody"/>
        <w:bidi w:val="0"/>
        <w:spacing w:lineRule="auto" w:line="288" w:before="260" w:after="283"/>
        <w:jc w:val="center"/>
        <w:rPr>
          <w:rFonts w:ascii="Times New Roman;serif" w:hAnsi="Times New Roman;serif"/>
          <w:b/>
          <w:color w:val="000000"/>
          <w:sz w:val="22"/>
        </w:rPr>
      </w:pPr>
      <w:r>
        <w:rPr>
          <w:rFonts w:ascii="Times New Roman;serif" w:hAnsi="Times New Roman;serif"/>
          <w:b/>
          <w:color w:val="000000"/>
          <w:sz w:val="22"/>
        </w:rPr>
        <w:t>ARTICLE IX</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The Corporation reserves the right to amend, alter, change or repeal any provision contained in this Certificate of Incorporation (including any rights, preferences or other designations of Preferred Stock), in the manner now or hereafter prescribed by this Certificate of Incorporation and the DGCL; and all rights, preferences and privileges herein conferred upon stockholders by and pursuant to this Certificate of Incorporation in its present form or as hereafter amended are granted subject to the right reserved in this Article IX. Notwithstanding any other provision of this Certificate of Incorporation, and in addition to any other vote that may be required by law or the terms of any series of Preferred Stock, the affirmative vote of the holders of at least 66 2/3% of the voting power of all then outstanding shares of capital stock of the Corporation entitled to vote generally in the election of directors, voting together as a single class, shall be required to amend, alter or repeal, or adopt any provision as part of this Certificate of Incorporation inconsistent with the purpose and intent of, Article V, Article VI, Article VII or this Article IX (including, without limitation, any such Article as renumbered as a result of any amendment, alteration, change, repeal or adoption of any other Article).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 WITNESS WHEREOF, Palo Alto Networks, Inc. has caused this Restated Certificate of Incorporation to be signed by the President and Chief Executive Officer of the Corporation on this 25th day of July 2012.</w:t>
      </w:r>
    </w:p>
    <w:p>
      <w:pPr>
        <w:pStyle w:val="TextBody"/>
        <w:bidi w:val="0"/>
        <w:spacing w:before="240" w:after="283"/>
        <w:jc w:val="left"/>
        <w:rPr/>
      </w:pPr>
      <w:r>
        <w:rPr/>
      </w:r>
    </w:p>
    <w:tbl>
      <w:tblPr>
        <w:tblW w:w="3630" w:type="dxa"/>
        <w:jc w:val="right"/>
        <w:tblInd w:w="0" w:type="dxa"/>
        <w:tblLayout w:type="fixed"/>
        <w:tblCellMar>
          <w:top w:w="28" w:type="dxa"/>
          <w:left w:w="28" w:type="dxa"/>
          <w:bottom w:w="28" w:type="dxa"/>
          <w:right w:w="28" w:type="dxa"/>
        </w:tblCellMar>
      </w:tblPr>
      <w:tblGrid>
        <w:gridCol w:w="151"/>
        <w:gridCol w:w="134"/>
        <w:gridCol w:w="135"/>
        <w:gridCol w:w="940"/>
        <w:gridCol w:w="940"/>
        <w:gridCol w:w="1330"/>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D. McLaughlin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D. McLaughlin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NETWORKS,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CERTIFICATE OF AMENDMENT TO THE</w:t>
        <w:br/>
        <w:t>RESTATED CERTIFICATE OF INCORPORATION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Palo Alto Networks, Inc. (the “</w:t>
      </w:r>
      <w:r>
        <w:rPr>
          <w:rFonts w:ascii="Times New Roman;serif" w:hAnsi="Times New Roman;serif"/>
          <w:b/>
          <w:color w:val="000000"/>
          <w:sz w:val="20"/>
        </w:rPr>
        <w:t>Corporation</w:t>
      </w:r>
      <w:r>
        <w:rPr>
          <w:color w:val="000000"/>
        </w:rPr>
        <w:t>”</w:t>
      </w:r>
      <w:r>
        <w:rPr>
          <w:rFonts w:ascii="Times New Roman;serif" w:hAnsi="Times New Roman;serif"/>
          <w:b w:val="false"/>
          <w:color w:val="000000"/>
          <w:sz w:val="20"/>
        </w:rPr>
        <w:t>), a corporation organized and existing under and by virtue of the General Corporation Law of the State of Delaware (the “</w:t>
      </w:r>
      <w:r>
        <w:rPr>
          <w:rFonts w:ascii="Times New Roman;serif" w:hAnsi="Times New Roman;serif"/>
          <w:b/>
          <w:color w:val="000000"/>
          <w:sz w:val="20"/>
        </w:rPr>
        <w:t>DGCL</w:t>
      </w:r>
      <w:r>
        <w:rPr>
          <w:color w:val="000000"/>
        </w:rPr>
        <w:t>”</w:t>
      </w:r>
      <w:r>
        <w:rPr>
          <w:rFonts w:ascii="Times New Roman;serif" w:hAnsi="Times New Roman;serif"/>
          <w:b w:val="false"/>
          <w:color w:val="000000"/>
          <w:sz w:val="20"/>
        </w:rPr>
        <w:t>), does hereby certify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name of the Corporation is Palo Alto Networks, Inc.</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date of filing of the original Certificate of Incorporation of the Corporation with the Secretary of State of the State of Delaware was February 28, 2005.</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3.Pursuant to Section 242 of the DGCL, this Certificate of Amendment to the Restated Certificate of Incorporation (this “</w:t>
      </w:r>
      <w:r>
        <w:rPr>
          <w:rFonts w:ascii="Times New Roman;serif" w:hAnsi="Times New Roman;serif"/>
          <w:b/>
          <w:color w:val="000000"/>
          <w:sz w:val="20"/>
        </w:rPr>
        <w:t>Certificate of Amendment</w:t>
      </w:r>
      <w:r>
        <w:rPr>
          <w:color w:val="000000"/>
        </w:rPr>
        <w:t>”</w:t>
      </w:r>
      <w:r>
        <w:rPr>
          <w:rFonts w:ascii="Times New Roman;serif" w:hAnsi="Times New Roman;serif"/>
          <w:b w:val="false"/>
          <w:color w:val="000000"/>
          <w:sz w:val="20"/>
        </w:rPr>
        <w:t xml:space="preserve">) amends the provisions of the Corporation’s Restated Certificate of Incorporation.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terms and provisions of this Certificate of Amendment have been duly adopted in accordance with the provisions of Section 242 of the DGCL.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5.Article IV, Section 4.1 of the Restated Certificate of Incorporation of the Corporation is hereby amended to read in its entirety as follows:</w:t>
      </w:r>
    </w:p>
    <w:p>
      <w:pPr>
        <w:pStyle w:val="TextBody"/>
        <w:bidi w:val="0"/>
        <w:spacing w:before="0" w:after="0"/>
        <w:jc w:val="left"/>
        <w:rPr/>
      </w:pPr>
      <w:r>
        <w:rPr/>
      </w:r>
    </w:p>
    <w:p>
      <w:pPr>
        <w:pStyle w:val="TextBody"/>
        <w:bidi w:val="0"/>
        <w:spacing w:lineRule="auto" w:line="288" w:before="0" w:after="0"/>
        <w:jc w:val="both"/>
        <w:rPr/>
      </w:pPr>
      <w:r>
        <w:rPr>
          <w:color w:val="000000"/>
          <w:shd w:fill="FFFFFF" w:val="clear"/>
        </w:rPr>
        <w:t>“</w:t>
      </w:r>
      <w:r>
        <w:rPr>
          <w:rFonts w:ascii="Times New Roman;serif" w:hAnsi="Times New Roman;serif"/>
          <w:b w:val="false"/>
          <w:color w:val="000000"/>
          <w:sz w:val="20"/>
          <w:u w:val="single"/>
          <w:shd w:fill="FFFFFF" w:val="clear"/>
        </w:rPr>
        <w:t>Authorized Capital Stock</w:t>
      </w:r>
      <w:r>
        <w:rPr>
          <w:rFonts w:ascii="Times New Roman;serif" w:hAnsi="Times New Roman;serif"/>
          <w:b w:val="false"/>
          <w:color w:val="000000"/>
          <w:sz w:val="20"/>
          <w:shd w:fill="FFFFFF" w:val="clear"/>
        </w:rPr>
        <w:t>. The total number of shares of all classes of capital stock that the Corporation is authorized to issue is 2,100,000,000 shares, consisting of 2,000,000,000 shares of Common Stock, par value $0.0001 per share (the “</w:t>
      </w:r>
      <w:r>
        <w:rPr>
          <w:rFonts w:ascii="Times New Roman;serif" w:hAnsi="Times New Roman;serif"/>
          <w:b/>
          <w:color w:val="000000"/>
          <w:sz w:val="20"/>
          <w:shd w:fill="FFFFFF" w:val="clear"/>
        </w:rPr>
        <w:t>Common Stock</w:t>
      </w:r>
      <w:r>
        <w:rPr>
          <w:color w:val="000000"/>
          <w:shd w:fill="FFFFFF" w:val="clear"/>
        </w:rPr>
        <w:t>”</w:t>
      </w:r>
      <w:r>
        <w:rPr>
          <w:rFonts w:ascii="Times New Roman;serif" w:hAnsi="Times New Roman;serif"/>
          <w:b w:val="false"/>
          <w:color w:val="000000"/>
          <w:sz w:val="20"/>
          <w:shd w:fill="FFFFFF" w:val="clear"/>
        </w:rPr>
        <w:t>), and 100,000,000 shares of Preferred Stock, par value $0.0001 per share (the “</w:t>
      </w:r>
      <w:r>
        <w:rPr>
          <w:rFonts w:ascii="Times New Roman;serif" w:hAnsi="Times New Roman;serif"/>
          <w:b/>
          <w:color w:val="000000"/>
          <w:sz w:val="20"/>
          <w:shd w:fill="FFFFFF" w:val="clear"/>
        </w:rPr>
        <w:t>Preferred Stock</w:t>
      </w:r>
      <w:r>
        <w:rPr>
          <w:color w:val="000000"/>
          <w:shd w:fill="FFFFFF" w:val="clear"/>
        </w:rPr>
        <w:t>”</w:t>
      </w:r>
      <w:r>
        <w:rPr>
          <w:rFonts w:ascii="Times New Roman;serif" w:hAnsi="Times New Roman;serif"/>
          <w:b w:val="false"/>
          <w:color w:val="000000"/>
          <w:sz w:val="20"/>
          <w:shd w:fill="FFFFFF" w:val="clear"/>
        </w:rPr>
        <w:t>). Upon the effectiveness of the Certificate of Amendment of the Restated Certificate of Incorporation adding this sentence (the “</w:t>
      </w:r>
      <w:r>
        <w:rPr>
          <w:rFonts w:ascii="Times New Roman;serif" w:hAnsi="Times New Roman;serif"/>
          <w:b/>
          <w:color w:val="000000"/>
          <w:sz w:val="20"/>
          <w:shd w:fill="FFFFFF" w:val="clear"/>
        </w:rPr>
        <w:t>Split Effective Time</w:t>
      </w:r>
      <w:r>
        <w:rPr>
          <w:color w:val="000000"/>
          <w:shd w:fill="FFFFFF" w:val="clear"/>
        </w:rPr>
        <w:t>”</w:t>
      </w:r>
      <w:r>
        <w:rPr>
          <w:rFonts w:ascii="Times New Roman;serif" w:hAnsi="Times New Roman;serif"/>
          <w:b w:val="false"/>
          <w:color w:val="000000"/>
          <w:sz w:val="20"/>
          <w:shd w:fill="FFFFFF" w:val="clear"/>
        </w:rPr>
        <w:t>), each one share of Common Stock issued and outstanding as of immediately prior to the Split Effective Time shall automatically be subdivided and reclassified into two shares of validly issued, fully-paid and nonassessable Common Stock, without any further action on the part of the Corporation or the holder thereof (the “</w:t>
      </w:r>
      <w:r>
        <w:rPr>
          <w:rFonts w:ascii="Times New Roman;serif" w:hAnsi="Times New Roman;serif"/>
          <w:b/>
          <w:color w:val="000000"/>
          <w:sz w:val="20"/>
          <w:shd w:fill="FFFFFF" w:val="clear"/>
        </w:rPr>
        <w:t>Stock Split</w:t>
      </w:r>
      <w:r>
        <w:rPr>
          <w:color w:val="000000"/>
          <w:shd w:fill="FFFFFF" w:val="clear"/>
        </w:rPr>
        <w:t>”</w:t>
      </w:r>
      <w:r>
        <w:rPr>
          <w:rFonts w:ascii="Times New Roman;serif" w:hAnsi="Times New Roman;serif"/>
          <w:b w:val="false"/>
          <w:color w:val="000000"/>
          <w:sz w:val="20"/>
          <w:shd w:fill="FFFFFF" w:val="clear"/>
        </w:rPr>
        <w:t>). Each certificate that immediately prior to the Effective Time represented shares of Common Stock (“</w:t>
      </w:r>
      <w:r>
        <w:rPr>
          <w:rFonts w:ascii="Times New Roman;serif" w:hAnsi="Times New Roman;serif"/>
          <w:b/>
          <w:color w:val="000000"/>
          <w:sz w:val="20"/>
          <w:shd w:fill="FFFFFF" w:val="clear"/>
        </w:rPr>
        <w:t>Old Certificates</w:t>
      </w:r>
      <w:r>
        <w:rPr>
          <w:color w:val="000000"/>
          <w:shd w:fill="FFFFFF" w:val="clear"/>
        </w:rPr>
        <w:t>”</w:t>
      </w:r>
      <w:r>
        <w:rPr>
          <w:rFonts w:ascii="Times New Roman;serif" w:hAnsi="Times New Roman;serif"/>
          <w:b w:val="false"/>
          <w:color w:val="000000"/>
          <w:sz w:val="20"/>
          <w:shd w:fill="FFFFFF" w:val="clear"/>
        </w:rPr>
        <w:t>) shall, until such certificate is surrendered to the Corporation for cancellation or exchange, thereafter automatically represent that number of shares of Common Stock into which the shares of Common Stock represented by the Old Certificate shall have been subdivided and reclassified pursuant to the Stock Split.”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6.This Certificate of Amendment shall become effective as of 4:01 p.m. Eastern Standard Time on December 12, 2024.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WITNESS WHEREOF, this Certificate of Amendment to the Amended and Restated Certificate of Incorporation has been executed by a duly authorized officer of this Corporation on this twelfth day of December, 2024.</w:t>
      </w:r>
    </w:p>
    <w:p>
      <w:pPr>
        <w:pStyle w:val="TextBody"/>
        <w:bidi w:val="0"/>
        <w:spacing w:before="100" w:after="100"/>
        <w:jc w:val="left"/>
        <w:rPr/>
      </w:pPr>
      <w:r>
        <w:rPr/>
      </w:r>
    </w:p>
    <w:tbl>
      <w:tblPr>
        <w:tblW w:w="2715" w:type="dxa"/>
        <w:jc w:val="right"/>
        <w:tblInd w:w="0" w:type="dxa"/>
        <w:tblLayout w:type="fixed"/>
        <w:tblCellMar>
          <w:top w:w="28" w:type="dxa"/>
          <w:left w:w="28" w:type="dxa"/>
          <w:bottom w:w="28" w:type="dxa"/>
          <w:right w:w="28" w:type="dxa"/>
        </w:tblCellMar>
      </w:tblPr>
      <w:tblGrid>
        <w:gridCol w:w="232"/>
        <w:gridCol w:w="205"/>
        <w:gridCol w:w="208"/>
        <w:gridCol w:w="606"/>
        <w:gridCol w:w="606"/>
        <w:gridCol w:w="85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Nikesh Arora</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DESCRIPTION OF REGISTRANT’S SECURITIES</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The following is a summary of information concerning the capital stock of Palo Alto Networks, Inc. (the “Company,” “we,” “us” or “our”) and certain provisions of our restated certificate of incorporation (“COI”) and amended and restated bylaws (“Bylaws”) as they are currently in effect. This summary does not purport to be complete and does not contain all the information that may be important to you. This summary is qualified in its entirety by the provisions of our COI and Bylaws, each previously filed with the Securities and Exchange Commission and incorporated by reference as an exhibit to the Annual Report on Form 10-K, of which this Exhibit 4.5 is a part, as well as the applicable provisions of the Delaware General Corporate Law (the “DGCL”). We encourage you to read our COI, Bylaws, and to the applicable provisions of the DGCL carefully.</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General</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 xml:space="preserve">Our authorized capital stock consists of 2,100,000,000 shares, with a par value of $0.0001 per share, of which 2,000,000,000 shares are designated as common stock and 100,000,000 shares are designated as preferred stock.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Common stock </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our common stock are entitled to one vote per share in any election of directors and on all matters submitted to a vote of our stockholders and do not have cumulative voting rights. Accordingly, holders of a majority of the shares of our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declared by our board of directors out of assets legally available. 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Preferred stock </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 xml:space="preserve">Our board of directors is authorized, without further action by our stockholders except as required by the listing standards of the Nasdaq Global Select Market (“Nasdaq”), to issue from time to time up to an aggregate of 100,000,000 shares of preferred stock in one or more series and to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any or all of which may be greater than the rights of common stock.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Anti-takeover effects of the COI, Bylaws and Delaware law</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Our COI and Bylaws contain certain provisions that could have the effect of delaying, deferring or discouraging another party from acquiring control of the Company.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Undesignated preferred stock</w:t>
      </w:r>
      <w:r>
        <w:rPr>
          <w:rFonts w:ascii="Times New Roman;serif" w:hAnsi="Times New Roman;serif"/>
          <w:b w:val="false"/>
          <w:color w:val="000000"/>
          <w:sz w:val="24"/>
        </w:rPr>
        <w:t>. As discussed above, our board of directors has the ability to designate and issue preferred stock with voting or other rights or preferences that could deter hostile takeovers or delay changes in our control or management.</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Limits on the ability of stockholders to act by written consent or call a special meeting</w:t>
      </w:r>
      <w:r>
        <w:rPr>
          <w:rFonts w:ascii="Times New Roman;serif" w:hAnsi="Times New Roman;serif"/>
          <w:b w:val="false"/>
          <w:color w:val="000000"/>
          <w:sz w:val="24"/>
        </w:rPr>
        <w:t>. Our COI provides that our stockholders may not act by written consent, which may lengthen the amount of time required to take stockholder actions. As a result, the holders of a majority of our capital stock would not be able to amend our COI or Bylaws or remove directors without holding a meeting of stockholders called in accordance with our Bylaws.</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In addition, our COI and Bylaws provide that special meetings of the stockholders may be called only by chairman of our board of directors, the chief executive officer, the president (in the absence of a chief executive officer), or our board of directors. A stockholder may not call a special meeting, which may delay the ability of our stockholders to force consideration of a proposal or for holders controlling a majority of our capital stock to take any action, including the removal of directors. Our board of directors may, at any time prior to the holding of a meeting of stockholders and for any reasonable reason, postpone or cancel such meeting.</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Requirements for advance notification of stockholder nominations and proposals</w:t>
      </w:r>
      <w:r>
        <w:rPr>
          <w:rFonts w:ascii="Times New Roman;serif" w:hAnsi="Times New Roman;serif"/>
          <w:b w:val="false"/>
          <w:color w:val="000000"/>
          <w:sz w:val="24"/>
        </w:rPr>
        <w:t>. Our COI and Bylaws contain advance notice procedures with respect to stockholder proposals and the nomination of candidates for election as directors, other than nominations made by or at the direction of our board of directors or a committee of the board of directors. Under our Bylaws, eligible stockholders may nominate persons for our board of directors for inclusion in our proxy statement. To be eligible, a single stockholder, or group of up to 20 stockholders, must own 3% of our outstanding stock continuously from at least three years prior to such nomination through the date of our relevant annual meeting. The individual stockholder, or group of stockholders, may submit that number of director nominations not exceeding the greater of (a) two or (b) 20% of the number of directors in office. Any such nomination must comply with the requirements set forth in our Bylaws. These advance notice procedures may have the effect of precluding the conduct of certain business at a meeting if the proper procedures are not followed and may also discourage or deter a potential acquirer from conducting a solicitation of proxies to elect the acquirer’s own slate of directors or otherwise attempt to obtain control of our company.</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Board classification</w:t>
      </w:r>
      <w:r>
        <w:rPr>
          <w:rFonts w:ascii="Times New Roman;serif" w:hAnsi="Times New Roman;serif"/>
          <w:b w:val="false"/>
          <w:color w:val="000000"/>
          <w:sz w:val="24"/>
        </w:rPr>
        <w:t xml:space="preserve">. Our board of directors is divided into three classes. The directors in each class serve for a three-year term, one class being elected each year by our stockholders. This system of electing and removing directors may tend to discourage a third party from making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tender offer or otherwise attempting to obtain control of us, because it generally makes it more difficult for stockholders to replace a majority of the directors.</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 xml:space="preserve">Election and removal of directors. </w:t>
      </w:r>
      <w:r>
        <w:rPr>
          <w:rFonts w:ascii="Times New Roman;serif" w:hAnsi="Times New Roman;serif"/>
          <w:b w:val="false"/>
          <w:color w:val="000000"/>
          <w:sz w:val="24"/>
        </w:rPr>
        <w:t>Our COI and Bylaws contain provisions that establish specific procedures for appointing and removing members of our board of directors. Under our COI and Bylaws, vacancies and newly created directorships on our board of directors may be filled only by a majority of the directors then serving on the board of directors. Under our COI and Bylaws, directors may be removed only for cause by the affirmative vote of the holders of a majority of the shares then entitled to vote at an election of directors.</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No cumulative voting</w:t>
      </w:r>
      <w:r>
        <w:rPr>
          <w:rFonts w:ascii="Times New Roman;serif" w:hAnsi="Times New Roman;serif"/>
          <w:b w:val="false"/>
          <w:color w:val="000000"/>
          <w:sz w:val="24"/>
        </w:rPr>
        <w:t>. The Delaware General Corporation Law provides that stockholders are not entitled to the right to cumulate votes in the election of directors unless the certificate of incorporation provides otherwise. Our COI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pStyle w:val="TextBody"/>
        <w:bidi w:val="0"/>
        <w:spacing w:lineRule="auto" w:line="288" w:before="0" w:after="240"/>
        <w:ind w:left="0" w:right="0" w:firstLine="540"/>
        <w:jc w:val="left"/>
        <w:rPr/>
      </w:pPr>
      <w:r>
        <w:rPr>
          <w:rFonts w:ascii="Times New Roman;serif" w:hAnsi="Times New Roman;serif"/>
          <w:b w:val="false"/>
          <w:i/>
          <w:color w:val="000000"/>
          <w:sz w:val="24"/>
        </w:rPr>
        <w:t>Delaware anti-takeover statute</w:t>
      </w:r>
      <w:r>
        <w:rPr>
          <w:rFonts w:ascii="Times New Roman;serif" w:hAnsi="Times New Roman;serif"/>
          <w:b w:val="false"/>
          <w:color w:val="000000"/>
          <w:sz w:val="24"/>
        </w:rPr>
        <w:t>. 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prior to the date of the transaction, our board of directors approved either the business combination or the transaction that resulted in the stockholder becoming an interested stockholder;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at or subsequent to the date of the transaction, the business combination is approved by our board of directors and authorized at an annual or special meeting of stockholders, and not by written consent, by the affirmative vote of at least 66 2/3% of the outstanding voting stock that is not owned by the interested stockholder.</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 xml:space="preserve">Generally, a business combination includes a merger, asset or stock sale, or other transaction resulting in a financial benefit to the interested stockholder. An interested stockholder is a person who, together with affiliates and associates, owns or, within three years prior to the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Transfer Agent and Registrar</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The transfer agent and registrar for our common stock is ComputerShare Trust Company, N.A. The transfer agent’s address is P.O. Box 43006, Providence, Rhode Island 02940-3006, and its telephone number is (781) 575-2000.</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Exchange Listing</w:t>
      </w:r>
    </w:p>
    <w:p>
      <w:pPr>
        <w:pStyle w:val="TextBody"/>
        <w:bidi w:val="0"/>
        <w:spacing w:lineRule="auto" w:line="288" w:before="0" w:after="240"/>
        <w:ind w:left="0" w:right="0" w:firstLine="540"/>
        <w:jc w:val="left"/>
        <w:rPr>
          <w:rFonts w:ascii="Times New Roman;serif" w:hAnsi="Times New Roman;serif"/>
          <w:b w:val="false"/>
          <w:color w:val="000000"/>
          <w:sz w:val="24"/>
        </w:rPr>
      </w:pPr>
      <w:r>
        <w:rPr>
          <w:rFonts w:ascii="Times New Roman;serif" w:hAnsi="Times New Roman;serif"/>
          <w:b w:val="false"/>
          <w:color w:val="000000"/>
          <w:sz w:val="24"/>
        </w:rPr>
        <w:t>Our common stock is listed on Nasdaq under the symbol “PANW.”</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6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PALO ALTO NETWORKS, INC.</w:t>
        <w:br/>
        <w:t>2021 EQUITY INCENTIVE PLAN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(As amended and restated as of August 14, 2025)</w:t>
      </w:r>
    </w:p>
    <w:p>
      <w:pPr>
        <w:pStyle w:val="TextBody"/>
        <w:bidi w:val="0"/>
        <w:spacing w:lineRule="auto" w:line="288" w:before="120" w:after="120"/>
        <w:ind w:left="0" w:right="0" w:hanging="360"/>
        <w:jc w:val="left"/>
        <w:rPr/>
      </w:pPr>
      <w:r>
        <w:rPr>
          <w:rFonts w:ascii="Times New Roman;serif" w:hAnsi="Times New Roman;serif"/>
          <w:b w:val="false"/>
          <w:color w:val="231F20"/>
          <w:sz w:val="22"/>
        </w:rPr>
        <w:t>1.</w:t>
      </w:r>
      <w:r>
        <w:rPr>
          <w:rFonts w:ascii="Times New Roman;serif" w:hAnsi="Times New Roman;serif"/>
          <w:b w:val="false"/>
          <w:color w:val="000000"/>
          <w:sz w:val="22"/>
          <w:u w:val="single"/>
        </w:rPr>
        <w:t>Purpose of the Plan</w:t>
      </w:r>
      <w:r>
        <w:rPr>
          <w:rFonts w:ascii="Times New Roman;serif" w:hAnsi="Times New Roman;serif"/>
          <w:b w:val="false"/>
          <w:color w:val="000000"/>
          <w:sz w:val="22"/>
        </w:rPr>
        <w:t>. The purpose of this Plan is to:</w:t>
      </w:r>
    </w:p>
    <w:p>
      <w:pPr>
        <w:pStyle w:val="TextBody"/>
        <w:bidi w:val="0"/>
        <w:spacing w:lineRule="auto" w:line="288" w:before="120" w:after="120"/>
        <w:ind w:left="0" w:right="0" w:hanging="288"/>
        <w:jc w:val="left"/>
        <w:rPr/>
      </w:pPr>
      <w:r>
        <w:rPr>
          <w:color w:val="000000"/>
        </w:rPr>
        <w:t>●</w:t>
      </w:r>
      <w:r>
        <w:rPr>
          <w:rFonts w:ascii="Times New Roman;serif" w:hAnsi="Times New Roman;serif"/>
          <w:b w:val="false"/>
          <w:color w:val="000000"/>
          <w:sz w:val="22"/>
        </w:rPr>
        <w:t>to attract and retain the best available personnel for positions of substantial responsibility,</w:t>
      </w:r>
    </w:p>
    <w:p>
      <w:pPr>
        <w:pStyle w:val="TextBody"/>
        <w:bidi w:val="0"/>
        <w:spacing w:lineRule="auto" w:line="288" w:before="120" w:after="120"/>
        <w:ind w:left="0" w:right="0" w:hanging="288"/>
        <w:jc w:val="left"/>
        <w:rPr/>
      </w:pPr>
      <w:r>
        <w:rPr>
          <w:color w:val="000000"/>
        </w:rPr>
        <w:t>●</w:t>
      </w:r>
      <w:r>
        <w:rPr>
          <w:rFonts w:ascii="Times New Roman;serif" w:hAnsi="Times New Roman;serif"/>
          <w:b w:val="false"/>
          <w:color w:val="000000"/>
          <w:sz w:val="22"/>
        </w:rPr>
        <w:t>to provide additional incentive to Employees, Directors and Consultants, and</w:t>
      </w:r>
    </w:p>
    <w:p>
      <w:pPr>
        <w:pStyle w:val="TextBody"/>
        <w:bidi w:val="0"/>
        <w:spacing w:lineRule="auto" w:line="288" w:before="120" w:after="120"/>
        <w:ind w:left="0" w:right="0" w:hanging="288"/>
        <w:jc w:val="left"/>
        <w:rPr/>
      </w:pPr>
      <w:r>
        <w:rPr>
          <w:color w:val="000000"/>
        </w:rPr>
        <w:t>●</w:t>
      </w:r>
      <w:r>
        <w:rPr>
          <w:rFonts w:ascii="Times New Roman;serif" w:hAnsi="Times New Roman;serif"/>
          <w:b w:val="false"/>
          <w:color w:val="000000"/>
          <w:sz w:val="22"/>
        </w:rPr>
        <w:t>to promote the success of the Company’s business.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The Plan permits the grant of Incentive Stock Options, Nonstatutory Stock Options, Restricted Stock, Restricted Stock Units, Stock Appreciation Rights, Performance Units and Performance Shares.</w:t>
      </w:r>
    </w:p>
    <w:p>
      <w:pPr>
        <w:pStyle w:val="TextBody"/>
        <w:bidi w:val="0"/>
        <w:spacing w:lineRule="auto" w:line="288" w:before="120" w:after="120"/>
        <w:ind w:left="0" w:right="0" w:hanging="360"/>
        <w:jc w:val="left"/>
        <w:rPr/>
      </w:pPr>
      <w:r>
        <w:rPr>
          <w:rFonts w:ascii="Times New Roman;serif" w:hAnsi="Times New Roman;serif"/>
          <w:b w:val="false"/>
          <w:color w:val="231F20"/>
          <w:sz w:val="22"/>
        </w:rPr>
        <w:t>2.</w:t>
      </w:r>
      <w:r>
        <w:rPr>
          <w:rFonts w:ascii="Times New Roman;serif" w:hAnsi="Times New Roman;serif"/>
          <w:b w:val="false"/>
          <w:color w:val="000000"/>
          <w:sz w:val="22"/>
          <w:u w:val="single"/>
        </w:rPr>
        <w:t>Definitions</w:t>
      </w:r>
      <w:r>
        <w:rPr>
          <w:rFonts w:ascii="Times New Roman;serif" w:hAnsi="Times New Roman;serif"/>
          <w:b w:val="false"/>
          <w:color w:val="000000"/>
          <w:sz w:val="22"/>
        </w:rPr>
        <w:t>. The following definitions are used in this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color w:val="000000"/>
        </w:rPr>
        <w:t>“</w:t>
      </w:r>
      <w:r>
        <w:rPr>
          <w:rFonts w:ascii="Times New Roman;serif" w:hAnsi="Times New Roman;serif"/>
          <w:b w:val="false"/>
          <w:color w:val="000000"/>
          <w:sz w:val="22"/>
          <w:u w:val="single"/>
        </w:rPr>
        <w:t>Administrator</w:t>
      </w:r>
      <w:r>
        <w:rPr>
          <w:color w:val="000000"/>
        </w:rPr>
        <w:t xml:space="preserve">” </w:t>
      </w:r>
      <w:r>
        <w:rPr>
          <w:rFonts w:ascii="Times New Roman;serif" w:hAnsi="Times New Roman;serif"/>
          <w:b w:val="false"/>
          <w:color w:val="000000"/>
          <w:sz w:val="22"/>
        </w:rPr>
        <w:t>means the Board or any of its Committees as will be administering the Plan, in accordance with Section 4 of the Plan.</w:t>
      </w:r>
    </w:p>
    <w:p>
      <w:pPr>
        <w:pStyle w:val="TextBody"/>
        <w:bidi w:val="0"/>
        <w:spacing w:lineRule="auto" w:line="288" w:before="120" w:after="120"/>
        <w:ind w:left="0" w:right="0" w:hanging="562"/>
        <w:jc w:val="left"/>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Amendment Date</w:t>
      </w:r>
      <w:r>
        <w:rPr>
          <w:color w:val="000000"/>
        </w:rPr>
        <w:t xml:space="preserve">” </w:t>
      </w:r>
      <w:r>
        <w:rPr>
          <w:rFonts w:ascii="Times New Roman;serif" w:hAnsi="Times New Roman;serif"/>
          <w:b w:val="false"/>
          <w:color w:val="000000"/>
          <w:sz w:val="22"/>
        </w:rPr>
        <w:t>means August 14, 2025.</w:t>
      </w:r>
    </w:p>
    <w:p>
      <w:pPr>
        <w:pStyle w:val="TextBody"/>
        <w:bidi w:val="0"/>
        <w:spacing w:lineRule="auto" w:line="288" w:before="0" w:after="0"/>
        <w:ind w:left="0" w:right="0" w:hanging="562"/>
        <w:jc w:val="left"/>
        <w:rPr/>
      </w:pPr>
      <w:r>
        <w:rPr>
          <w:rFonts w:ascii="Times New Roman;serif" w:hAnsi="Times New Roman;serif"/>
          <w:b w:val="false"/>
          <w:color w:val="231F20"/>
          <w:sz w:val="22"/>
        </w:rPr>
        <w:t>(c)</w:t>
      </w:r>
      <w:r>
        <w:rPr>
          <w:color w:val="000000"/>
        </w:rPr>
        <w:t>“</w:t>
      </w:r>
      <w:r>
        <w:rPr>
          <w:rFonts w:ascii="Times New Roman;serif" w:hAnsi="Times New Roman;serif"/>
          <w:b w:val="false"/>
          <w:color w:val="000000"/>
          <w:sz w:val="22"/>
          <w:u w:val="single"/>
        </w:rPr>
        <w:t>Applicable Laws</w:t>
      </w:r>
      <w:r>
        <w:rPr>
          <w:color w:val="000000"/>
        </w:rPr>
        <w:t xml:space="preserve">” </w:t>
      </w:r>
      <w:r>
        <w:rPr>
          <w:rFonts w:ascii="Times New Roman;serif" w:hAnsi="Times New Roman;serif"/>
          <w:b w:val="false"/>
          <w:color w:val="000000"/>
          <w:sz w:val="22"/>
        </w:rPr>
        <w:t>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color w:val="000000"/>
        </w:rPr>
        <w:t>“</w:t>
      </w:r>
      <w:r>
        <w:rPr>
          <w:rFonts w:ascii="Times New Roman;serif" w:hAnsi="Times New Roman;serif"/>
          <w:b w:val="false"/>
          <w:color w:val="000000"/>
          <w:sz w:val="22"/>
          <w:u w:val="single"/>
        </w:rPr>
        <w:t>Award</w:t>
      </w:r>
      <w:r>
        <w:rPr>
          <w:color w:val="000000"/>
        </w:rPr>
        <w:t xml:space="preserve">” </w:t>
      </w:r>
      <w:r>
        <w:rPr>
          <w:rFonts w:ascii="Times New Roman;serif" w:hAnsi="Times New Roman;serif"/>
          <w:b w:val="false"/>
          <w:color w:val="000000"/>
          <w:sz w:val="22"/>
        </w:rPr>
        <w:t>means, individually or collectively, a grant under the Plan of Options, Stock Appreciation Rights, Restricted Stock, Restricted Stock Units, Performance Units or Performance Shares.</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color w:val="000000"/>
        </w:rPr>
        <w:t>“</w:t>
      </w:r>
      <w:r>
        <w:rPr>
          <w:rFonts w:ascii="Times New Roman;serif" w:hAnsi="Times New Roman;serif"/>
          <w:b w:val="false"/>
          <w:color w:val="000000"/>
          <w:sz w:val="22"/>
          <w:u w:val="single"/>
        </w:rPr>
        <w:t>Award Agreement</w:t>
      </w:r>
      <w:r>
        <w:rPr>
          <w:color w:val="000000"/>
        </w:rPr>
        <w:t xml:space="preserve">” </w:t>
      </w:r>
      <w:r>
        <w:rPr>
          <w:rFonts w:ascii="Times New Roman;serif" w:hAnsi="Times New Roman;serif"/>
          <w:b w:val="false"/>
          <w:color w:val="000000"/>
          <w:sz w:val="22"/>
        </w:rPr>
        <w:t>means the written or electronic agreement between the Company and Participant setting forth the terms and provisions applicable to an Award granted under the Plan. The Award Agreement is subject to the terms and conditions of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(f)</w:t>
      </w: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120" w:after="120"/>
        <w:ind w:left="0" w:right="0" w:hanging="567"/>
        <w:jc w:val="left"/>
        <w:rPr/>
      </w:pPr>
      <w:r>
        <w:rPr>
          <w:rFonts w:ascii="Times New Roman;serif" w:hAnsi="Times New Roman;serif"/>
          <w:b w:val="false"/>
          <w:color w:val="231F20"/>
          <w:sz w:val="22"/>
        </w:rPr>
        <w:t>(g)</w:t>
      </w: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means the occurrence of any of the following events:</w:t>
      </w:r>
    </w:p>
    <w:p>
      <w:pPr>
        <w:pStyle w:val="TextBody"/>
        <w:bidi w:val="0"/>
        <w:spacing w:lineRule="auto" w:line="288" w:before="120" w:after="120"/>
        <w:ind w:left="0" w:right="0" w:hanging="561"/>
        <w:jc w:val="left"/>
        <w:rPr/>
      </w:pPr>
      <w:r>
        <w:rPr>
          <w:rFonts w:ascii="Times New Roman;serif" w:hAnsi="Times New Roman;serif"/>
          <w:b w:val="false"/>
          <w:color w:val="231F20"/>
          <w:sz w:val="22"/>
        </w:rPr>
        <w:t>(i)</w:t>
      </w:r>
      <w:r>
        <w:rPr>
          <w:rFonts w:ascii="Times New Roman;serif" w:hAnsi="Times New Roman;serif"/>
          <w:b w:val="false"/>
          <w:color w:val="000000"/>
          <w:sz w:val="22"/>
          <w:u w:val="single"/>
        </w:rPr>
        <w:t>Change in Ownership of the Company</w:t>
      </w:r>
      <w:r>
        <w:rPr>
          <w:rFonts w:ascii="Times New Roman;serif" w:hAnsi="Times New Roman;serif"/>
          <w:b w:val="false"/>
          <w:color w:val="000000"/>
          <w:sz w:val="22"/>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pStyle w:val="TextBody"/>
        <w:bidi w:val="0"/>
        <w:spacing w:lineRule="auto" w:line="288" w:before="120" w:after="120"/>
        <w:ind w:left="0" w:right="0" w:hanging="561"/>
        <w:jc w:val="left"/>
        <w:rPr/>
      </w:pPr>
      <w:r>
        <w:rPr>
          <w:rFonts w:ascii="Times New Roman;serif" w:hAnsi="Times New Roman;serif"/>
          <w:b w:val="false"/>
          <w:color w:val="231F20"/>
          <w:sz w:val="22"/>
        </w:rPr>
        <w:t>(ii)</w:t>
      </w:r>
      <w:r>
        <w:rPr>
          <w:rFonts w:ascii="Times New Roman;serif" w:hAnsi="Times New Roman;serif"/>
          <w:b w:val="false"/>
          <w:color w:val="000000"/>
          <w:sz w:val="22"/>
          <w:u w:val="single"/>
        </w:rPr>
        <w:t>Change in Effective Control of the Company</w:t>
      </w:r>
      <w:r>
        <w:rPr>
          <w:rFonts w:ascii="Times New Roman;serif" w:hAnsi="Times New Roman;serif"/>
          <w:b w:val="false"/>
          <w:color w:val="000000"/>
          <w:sz w:val="22"/>
        </w:rPr>
        <w:t xml:space="preserve">. A change in the effective control of the Company which occurs on the date that a majority of members of the Board is replaced during any 12-month period by Directors whose appointment or election is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0" w:after="0"/>
        <w:ind w:left="0" w:right="0" w:hanging="561"/>
        <w:jc w:val="left"/>
        <w:rPr/>
      </w:pPr>
      <w:r>
        <w:rPr>
          <w:rFonts w:ascii="Times New Roman;serif" w:hAnsi="Times New Roman;serif"/>
          <w:b w:val="false"/>
          <w:color w:val="231F20"/>
          <w:sz w:val="22"/>
        </w:rPr>
        <w:t>(iii)</w:t>
      </w:r>
      <w:r>
        <w:rPr>
          <w:rFonts w:ascii="Times New Roman;serif" w:hAnsi="Times New Roman;serif"/>
          <w:b w:val="false"/>
          <w:color w:val="000000"/>
          <w:sz w:val="22"/>
          <w:u w:val="single"/>
        </w:rPr>
        <w:t>Change in Ownership of a Substantial Portion of the Company’s Assets</w:t>
      </w:r>
      <w:r>
        <w:rPr>
          <w:rFonts w:ascii="Times New Roman;serif" w:hAnsi="Times New Roman;serif"/>
          <w:b w:val="false"/>
          <w:color w:val="000000"/>
          <w:sz w:val="22"/>
        </w:rPr>
        <w:t>. A change in the ownership of a substantial portion of the Company’s assets which occurs on the date that any Person acquires (or has 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lineRule="auto" w:line="288" w:before="120" w:after="120"/>
        <w:ind w:left="0" w:right="0" w:hanging="567"/>
        <w:jc w:val="left"/>
        <w:rPr/>
      </w:pPr>
      <w:r>
        <w:rPr>
          <w:rFonts w:ascii="Times New Roman;serif" w:hAnsi="Times New Roman;serif"/>
          <w:b w:val="false"/>
          <w:color w:val="231F20"/>
          <w:sz w:val="22"/>
        </w:rPr>
        <w:t>(h)</w:t>
      </w: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U.S. Internal Revenue Code of 1986.</w:t>
      </w:r>
    </w:p>
    <w:p>
      <w:pPr>
        <w:pStyle w:val="TextBody"/>
        <w:bidi w:val="0"/>
        <w:spacing w:lineRule="auto" w:line="288" w:before="120" w:after="120"/>
        <w:ind w:left="0" w:right="0" w:hanging="567"/>
        <w:jc w:val="left"/>
        <w:rPr/>
      </w:pPr>
      <w:r>
        <w:rPr>
          <w:rFonts w:ascii="Times New Roman;serif" w:hAnsi="Times New Roman;serif"/>
          <w:b w:val="false"/>
          <w:color w:val="231F20"/>
          <w:sz w:val="22"/>
        </w:rPr>
        <w:t>(i)</w:t>
      </w:r>
      <w:r>
        <w:rPr>
          <w:color w:val="000000"/>
        </w:rPr>
        <w:t>“</w:t>
      </w:r>
      <w:r>
        <w:rPr>
          <w:rFonts w:ascii="Times New Roman;serif" w:hAnsi="Times New Roman;serif"/>
          <w:b w:val="false"/>
          <w:color w:val="000000"/>
          <w:sz w:val="22"/>
          <w:u w:val="single"/>
        </w:rPr>
        <w:t>Committee</w:t>
      </w:r>
      <w:r>
        <w:rPr>
          <w:color w:val="000000"/>
        </w:rPr>
        <w:t xml:space="preserve">” </w:t>
      </w:r>
      <w:r>
        <w:rPr>
          <w:rFonts w:ascii="Times New Roman;serif" w:hAnsi="Times New Roman;serif"/>
          <w:b w:val="false"/>
          <w:color w:val="000000"/>
          <w:sz w:val="22"/>
        </w:rPr>
        <w:t>means a committee of Directors or of other individuals satisfying Applicable Laws appointed by the Board, or a duly authorized committee of the Board, in accordance with Section 4 hereof.</w:t>
      </w:r>
    </w:p>
    <w:p>
      <w:pPr>
        <w:pStyle w:val="TextBody"/>
        <w:bidi w:val="0"/>
        <w:spacing w:lineRule="auto" w:line="288" w:before="120" w:after="120"/>
        <w:ind w:left="0" w:right="0" w:hanging="567"/>
        <w:jc w:val="left"/>
        <w:rPr/>
      </w:pPr>
      <w:r>
        <w:rPr>
          <w:rFonts w:ascii="Times New Roman;serif" w:hAnsi="Times New Roman;serif"/>
          <w:b w:val="false"/>
          <w:color w:val="231F20"/>
          <w:sz w:val="22"/>
        </w:rPr>
        <w:t>(j)</w:t>
      </w:r>
      <w:r>
        <w:rPr>
          <w:color w:val="000000"/>
        </w:rPr>
        <w:t>“</w:t>
      </w:r>
      <w:r>
        <w:rPr>
          <w:rFonts w:ascii="Times New Roman;serif" w:hAnsi="Times New Roman;serif"/>
          <w:b w:val="false"/>
          <w:color w:val="000000"/>
          <w:sz w:val="22"/>
          <w:u w:val="single"/>
        </w:rPr>
        <w:t>Common Stock</w:t>
      </w:r>
      <w:r>
        <w:rPr>
          <w:color w:val="000000"/>
        </w:rPr>
        <w:t xml:space="preserve">” </w:t>
      </w:r>
      <w:r>
        <w:rPr>
          <w:rFonts w:ascii="Times New Roman;serif" w:hAnsi="Times New Roman;serif"/>
          <w:b w:val="false"/>
          <w:color w:val="000000"/>
          <w:sz w:val="22"/>
        </w:rPr>
        <w:t>means the common stock of the Company.</w:t>
      </w:r>
    </w:p>
    <w:p>
      <w:pPr>
        <w:pStyle w:val="TextBody"/>
        <w:bidi w:val="0"/>
        <w:spacing w:lineRule="auto" w:line="288" w:before="120" w:after="120"/>
        <w:ind w:left="0" w:right="0" w:hanging="567"/>
        <w:jc w:val="left"/>
        <w:rPr/>
      </w:pPr>
      <w:r>
        <w:rPr>
          <w:rFonts w:ascii="Times New Roman;serif" w:hAnsi="Times New Roman;serif"/>
          <w:b w:val="false"/>
          <w:color w:val="231F20"/>
          <w:sz w:val="22"/>
        </w:rPr>
        <w:t>(k)</w:t>
      </w: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means Palo Alto Networks, Inc., a Delaware corporation, or any successor thereto.</w:t>
      </w:r>
    </w:p>
    <w:p>
      <w:pPr>
        <w:pStyle w:val="TextBody"/>
        <w:bidi w:val="0"/>
        <w:spacing w:lineRule="auto" w:line="288" w:before="120" w:after="120"/>
        <w:ind w:left="0" w:right="0" w:hanging="567"/>
        <w:jc w:val="left"/>
        <w:rPr/>
      </w:pPr>
      <w:r>
        <w:rPr>
          <w:rFonts w:ascii="Times New Roman;serif" w:hAnsi="Times New Roman;serif"/>
          <w:b w:val="false"/>
          <w:color w:val="231F20"/>
          <w:sz w:val="22"/>
        </w:rPr>
        <w:t>(l)</w:t>
      </w:r>
      <w:r>
        <w:rPr>
          <w:color w:val="000000"/>
        </w:rPr>
        <w:t>“</w:t>
      </w:r>
      <w:r>
        <w:rPr>
          <w:rFonts w:ascii="Times New Roman;serif" w:hAnsi="Times New Roman;serif"/>
          <w:b w:val="false"/>
          <w:color w:val="000000"/>
          <w:sz w:val="22"/>
          <w:u w:val="single"/>
        </w:rPr>
        <w:t>Consultant</w:t>
      </w:r>
      <w:r>
        <w:rPr>
          <w:color w:val="000000"/>
        </w:rPr>
        <w:t xml:space="preserve">” </w:t>
      </w:r>
      <w:r>
        <w:rPr>
          <w:rFonts w:ascii="Times New Roman;serif" w:hAnsi="Times New Roman;serif"/>
          <w:b w:val="false"/>
          <w:color w:val="000000"/>
          <w:sz w:val="22"/>
        </w:rPr>
        <w:t>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pStyle w:val="TextBody"/>
        <w:bidi w:val="0"/>
        <w:spacing w:lineRule="auto" w:line="288" w:before="120" w:after="120"/>
        <w:ind w:left="0" w:right="0" w:hanging="567"/>
        <w:jc w:val="left"/>
        <w:rPr/>
      </w:pPr>
      <w:r>
        <w:rPr>
          <w:rFonts w:ascii="Times New Roman;serif" w:hAnsi="Times New Roman;serif"/>
          <w:b w:val="false"/>
          <w:color w:val="231F20"/>
          <w:sz w:val="22"/>
        </w:rPr>
        <w:t>(m)</w:t>
      </w:r>
      <w:r>
        <w:rPr>
          <w:color w:val="000000"/>
        </w:rPr>
        <w:t>“</w:t>
      </w:r>
      <w:r>
        <w:rPr>
          <w:rFonts w:ascii="Times New Roman;serif" w:hAnsi="Times New Roman;serif"/>
          <w:b w:val="false"/>
          <w:color w:val="000000"/>
          <w:sz w:val="22"/>
          <w:u w:val="single"/>
        </w:rPr>
        <w:t>Director</w:t>
      </w:r>
      <w:r>
        <w:rPr>
          <w:color w:val="000000"/>
        </w:rPr>
        <w:t xml:space="preserve">” </w:t>
      </w:r>
      <w:r>
        <w:rPr>
          <w:rFonts w:ascii="Times New Roman;serif" w:hAnsi="Times New Roman;serif"/>
          <w:b w:val="false"/>
          <w:color w:val="000000"/>
          <w:sz w:val="22"/>
        </w:rPr>
        <w:t>means a member of the Board.</w:t>
      </w:r>
    </w:p>
    <w:p>
      <w:pPr>
        <w:pStyle w:val="TextBody"/>
        <w:bidi w:val="0"/>
        <w:spacing w:lineRule="auto" w:line="288" w:before="120" w:after="120"/>
        <w:ind w:left="0" w:right="0" w:hanging="567"/>
        <w:jc w:val="left"/>
        <w:rPr/>
      </w:pPr>
      <w:r>
        <w:rPr>
          <w:rFonts w:ascii="Times New Roman;serif" w:hAnsi="Times New Roman;serif"/>
          <w:b w:val="false"/>
          <w:color w:val="231F20"/>
          <w:sz w:val="22"/>
        </w:rPr>
        <w:t>(n)</w:t>
      </w:r>
      <w:r>
        <w:rPr>
          <w:color w:val="000000"/>
        </w:rPr>
        <w:t>“</w:t>
      </w:r>
      <w:r>
        <w:rPr>
          <w:rFonts w:ascii="Times New Roman;serif" w:hAnsi="Times New Roman;serif"/>
          <w:b w:val="false"/>
          <w:color w:val="000000"/>
          <w:sz w:val="22"/>
          <w:u w:val="single"/>
        </w:rPr>
        <w:t>Disability</w:t>
      </w:r>
      <w:r>
        <w:rPr>
          <w:color w:val="000000"/>
        </w:rPr>
        <w:t xml:space="preserve">” </w:t>
      </w:r>
      <w:r>
        <w:rPr>
          <w:rFonts w:ascii="Times New Roman;serif" w:hAnsi="Times New Roman;serif"/>
          <w:b w:val="false"/>
          <w:color w:val="000000"/>
          <w:sz w:val="22"/>
        </w:rPr>
        <w:t>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pStyle w:val="TextBody"/>
        <w:bidi w:val="0"/>
        <w:spacing w:lineRule="auto" w:line="288" w:before="120" w:after="120"/>
        <w:ind w:left="0" w:right="0" w:hanging="567"/>
        <w:jc w:val="left"/>
        <w:rPr/>
      </w:pPr>
      <w:r>
        <w:rPr>
          <w:rFonts w:ascii="Times New Roman;serif" w:hAnsi="Times New Roman;serif"/>
          <w:b w:val="false"/>
          <w:color w:val="231F20"/>
          <w:sz w:val="22"/>
        </w:rPr>
        <w:t>(o)</w:t>
      </w:r>
      <w:r>
        <w:rPr>
          <w:color w:val="000000"/>
        </w:rPr>
        <w:t>“</w:t>
      </w:r>
      <w:r>
        <w:rPr>
          <w:rFonts w:ascii="Times New Roman;serif" w:hAnsi="Times New Roman;serif"/>
          <w:b w:val="false"/>
          <w:color w:val="000000"/>
          <w:sz w:val="22"/>
          <w:u w:val="single"/>
        </w:rPr>
        <w:t>Employee</w:t>
      </w:r>
      <w:r>
        <w:rPr>
          <w:color w:val="000000"/>
        </w:rPr>
        <w:t xml:space="preserve">” </w:t>
      </w:r>
      <w:r>
        <w:rPr>
          <w:rFonts w:ascii="Times New Roman;serif" w:hAnsi="Times New Roman;serif"/>
          <w:b w:val="false"/>
          <w:color w:val="000000"/>
          <w:sz w:val="22"/>
        </w:rPr>
        <w:t>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pStyle w:val="TextBody"/>
        <w:bidi w:val="0"/>
        <w:spacing w:lineRule="auto" w:line="288" w:before="120" w:after="120"/>
        <w:ind w:left="0" w:right="0" w:hanging="567"/>
        <w:jc w:val="left"/>
        <w:rPr/>
      </w:pPr>
      <w:r>
        <w:rPr>
          <w:rFonts w:ascii="Times New Roman;serif" w:hAnsi="Times New Roman;serif"/>
          <w:b w:val="false"/>
          <w:color w:val="231F20"/>
          <w:sz w:val="22"/>
        </w:rPr>
        <w:t>(p)</w:t>
      </w: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U.S. Securities Exchange Act of 1934.</w:t>
      </w:r>
    </w:p>
    <w:p>
      <w:pPr>
        <w:pStyle w:val="TextBody"/>
        <w:bidi w:val="0"/>
        <w:spacing w:lineRule="auto" w:line="288" w:before="120" w:after="120"/>
        <w:ind w:left="0" w:right="0" w:hanging="567"/>
        <w:jc w:val="left"/>
        <w:rPr/>
      </w:pPr>
      <w:r>
        <w:rPr>
          <w:rFonts w:ascii="Times New Roman;serif" w:hAnsi="Times New Roman;serif"/>
          <w:b w:val="false"/>
          <w:color w:val="231F20"/>
          <w:sz w:val="22"/>
        </w:rPr>
        <w:t>(q)</w:t>
      </w:r>
      <w:r>
        <w:rPr>
          <w:color w:val="000000"/>
        </w:rPr>
        <w:t>“</w:t>
      </w:r>
      <w:r>
        <w:rPr>
          <w:rFonts w:ascii="Times New Roman;serif" w:hAnsi="Times New Roman;serif"/>
          <w:b w:val="false"/>
          <w:color w:val="000000"/>
          <w:sz w:val="22"/>
          <w:u w:val="single"/>
        </w:rPr>
        <w:t>Exchange Program</w:t>
      </w:r>
      <w:r>
        <w:rPr>
          <w:color w:val="000000"/>
        </w:rPr>
        <w:t xml:space="preserve">” </w:t>
      </w:r>
      <w:r>
        <w:rPr>
          <w:rFonts w:ascii="Times New Roman;serif" w:hAnsi="Times New Roman;serif"/>
          <w:b w:val="false"/>
          <w:color w:val="000000"/>
          <w:sz w:val="22"/>
        </w:rPr>
        <w:t>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pStyle w:val="TextBody"/>
        <w:bidi w:val="0"/>
        <w:spacing w:lineRule="auto" w:line="288" w:before="0" w:after="120"/>
        <w:ind w:left="0" w:right="0" w:hanging="562"/>
        <w:jc w:val="left"/>
        <w:rPr/>
      </w:pPr>
      <w:r>
        <w:rPr>
          <w:rFonts w:ascii="Times New Roman;serif" w:hAnsi="Times New Roman;serif"/>
          <w:b w:val="false"/>
          <w:color w:val="231F20"/>
          <w:sz w:val="22"/>
        </w:rPr>
        <w:t>(r)</w:t>
      </w:r>
      <w:r>
        <w:rPr>
          <w:color w:val="000000"/>
        </w:rPr>
        <w:t>“</w:t>
      </w:r>
      <w:r>
        <w:rPr>
          <w:rFonts w:ascii="Times New Roman;serif" w:hAnsi="Times New Roman;serif"/>
          <w:b w:val="false"/>
          <w:color w:val="000000"/>
          <w:sz w:val="22"/>
          <w:u w:val="single"/>
        </w:rPr>
        <w:t>Fair Market Value</w:t>
      </w:r>
      <w:r>
        <w:rPr>
          <w:color w:val="000000"/>
        </w:rPr>
        <w:t xml:space="preserve">” </w:t>
      </w:r>
      <w:r>
        <w:rPr>
          <w:rFonts w:ascii="Times New Roman;serif" w:hAnsi="Times New Roman;serif"/>
          <w:b w:val="false"/>
          <w:color w:val="000000"/>
          <w:sz w:val="22"/>
        </w:rPr>
        <w:t>means, as of any date, the value of Common Stock determined as follows:</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rPr>
        <w:t>If the Common Stock is listed on any established stock exchange or a national market system, including without limitation Nasdaq Global Select Market, Nasdaq Global Market or Nasdaq Capital Market of Nasdaq 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pStyle w:val="TextBody"/>
        <w:bidi w:val="0"/>
        <w:spacing w:lineRule="auto" w:line="288" w:before="120" w:after="120"/>
        <w:ind w:left="0" w:right="0" w:hanging="562"/>
        <w:jc w:val="left"/>
        <w:rPr/>
      </w:pPr>
      <w:r>
        <w:rPr>
          <w:rFonts w:ascii="Times New Roman;serif" w:hAnsi="Times New Roman;serif"/>
          <w:b w:val="false"/>
          <w:color w:val="231F20"/>
          <w:sz w:val="22"/>
        </w:rPr>
        <w:t>(ii)</w:t>
      </w:r>
      <w:r>
        <w:rPr>
          <w:rFonts w:ascii="Times New Roman;serif" w:hAnsi="Times New Roman;serif"/>
          <w:b w:val="false"/>
          <w:color w:val="000000"/>
          <w:sz w:val="22"/>
        </w:rPr>
        <w:t>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pStyle w:val="TextBody"/>
        <w:bidi w:val="0"/>
        <w:spacing w:lineRule="auto" w:line="288" w:before="120" w:after="120"/>
        <w:ind w:left="0" w:right="0" w:hanging="562"/>
        <w:jc w:val="left"/>
        <w:rPr/>
      </w:pPr>
      <w:r>
        <w:rPr>
          <w:rFonts w:ascii="Times New Roman;serif" w:hAnsi="Times New Roman;serif"/>
          <w:b w:val="false"/>
          <w:color w:val="231F20"/>
          <w:sz w:val="22"/>
        </w:rPr>
        <w:t>(iii)</w:t>
      </w:r>
      <w:r>
        <w:rPr>
          <w:rFonts w:ascii="Times New Roman;serif" w:hAnsi="Times New Roman;serif"/>
          <w:b w:val="false"/>
          <w:color w:val="000000"/>
          <w:sz w:val="22"/>
        </w:rPr>
        <w:t>In the absence of an established market for the Common Stock, the Fair Market Value will be determined in good faith by the Administrator.</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If the Fair Market Value is to be determined under subsection (i) or (ii) above and the determination date for the Fair Market Value occurs on a day other than a Trading Day, the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pStyle w:val="TextBody"/>
        <w:bidi w:val="0"/>
        <w:spacing w:lineRule="auto" w:line="288" w:before="120" w:after="120"/>
        <w:ind w:left="0" w:right="0" w:hanging="567"/>
        <w:jc w:val="left"/>
        <w:rPr/>
      </w:pPr>
      <w:r>
        <w:rPr>
          <w:rFonts w:ascii="Times New Roman;serif" w:hAnsi="Times New Roman;serif"/>
          <w:b w:val="false"/>
          <w:color w:val="231F20"/>
          <w:sz w:val="22"/>
        </w:rPr>
        <w:t>(s)</w:t>
      </w:r>
      <w:r>
        <w:rPr>
          <w:color w:val="000000"/>
          <w:u w:val="single"/>
        </w:rPr>
        <w:t>“</w:t>
      </w:r>
      <w:r>
        <w:rPr>
          <w:rFonts w:ascii="Times New Roman;serif" w:hAnsi="Times New Roman;serif"/>
          <w:b w:val="false"/>
          <w:color w:val="000000"/>
          <w:sz w:val="22"/>
          <w:u w:val="single"/>
        </w:rPr>
        <w:t>Fiscal Year</w:t>
      </w:r>
      <w:r>
        <w:rPr>
          <w:color w:val="000000"/>
        </w:rPr>
        <w:t xml:space="preserve">” </w:t>
      </w:r>
      <w:r>
        <w:rPr>
          <w:rFonts w:ascii="Times New Roman;serif" w:hAnsi="Times New Roman;serif"/>
          <w:b w:val="false"/>
          <w:color w:val="000000"/>
          <w:sz w:val="22"/>
        </w:rPr>
        <w:t>means the fiscal year of the Company.</w:t>
      </w:r>
    </w:p>
    <w:p>
      <w:pPr>
        <w:pStyle w:val="TextBody"/>
        <w:bidi w:val="0"/>
        <w:spacing w:lineRule="auto" w:line="288" w:before="120" w:after="120"/>
        <w:ind w:left="0" w:right="0" w:hanging="567"/>
        <w:jc w:val="left"/>
        <w:rPr/>
      </w:pPr>
      <w:r>
        <w:rPr>
          <w:rFonts w:ascii="Times New Roman;serif" w:hAnsi="Times New Roman;serif"/>
          <w:b w:val="false"/>
          <w:color w:val="231F20"/>
          <w:sz w:val="22"/>
        </w:rPr>
        <w:t>(t)</w:t>
      </w:r>
      <w:r>
        <w:rPr>
          <w:color w:val="000000"/>
          <w:u w:val="single"/>
        </w:rPr>
        <w:t>“</w:t>
      </w:r>
      <w:r>
        <w:rPr>
          <w:rFonts w:ascii="Times New Roman;serif" w:hAnsi="Times New Roman;serif"/>
          <w:b w:val="false"/>
          <w:color w:val="000000"/>
          <w:sz w:val="22"/>
          <w:u w:val="single"/>
        </w:rPr>
        <w:t>Incentive Stock Option</w:t>
      </w:r>
      <w:r>
        <w:rPr>
          <w:color w:val="000000"/>
        </w:rPr>
        <w:t xml:space="preserve">” </w:t>
      </w:r>
      <w:r>
        <w:rPr>
          <w:rFonts w:ascii="Times New Roman;serif" w:hAnsi="Times New Roman;serif"/>
          <w:b w:val="false"/>
          <w:color w:val="000000"/>
          <w:sz w:val="22"/>
        </w:rPr>
        <w:t>means an Option that is intended to qualify, and actually qualifies, as an incentive stock option within the meaning of Section 422 of the Code and the regulations promulgated thereunder.</w:t>
      </w:r>
    </w:p>
    <w:p>
      <w:pPr>
        <w:pStyle w:val="TextBody"/>
        <w:bidi w:val="0"/>
        <w:spacing w:lineRule="auto" w:line="288" w:before="120" w:after="120"/>
        <w:ind w:left="0" w:right="0" w:hanging="567"/>
        <w:jc w:val="left"/>
        <w:rPr/>
      </w:pPr>
      <w:r>
        <w:rPr>
          <w:rFonts w:ascii="Times New Roman;serif" w:hAnsi="Times New Roman;serif"/>
          <w:b w:val="false"/>
          <w:color w:val="231F20"/>
          <w:sz w:val="22"/>
        </w:rPr>
        <w:t>(u)</w:t>
      </w:r>
      <w:r>
        <w:rPr>
          <w:color w:val="000000"/>
        </w:rPr>
        <w:t>“</w:t>
      </w:r>
      <w:r>
        <w:rPr>
          <w:rFonts w:ascii="Times New Roman;serif" w:hAnsi="Times New Roman;serif"/>
          <w:b w:val="false"/>
          <w:color w:val="000000"/>
          <w:sz w:val="22"/>
          <w:u w:val="single"/>
        </w:rPr>
        <w:t>Inside Director</w:t>
      </w:r>
      <w:r>
        <w:rPr>
          <w:color w:val="000000"/>
        </w:rPr>
        <w:t xml:space="preserve">” </w:t>
      </w:r>
      <w:r>
        <w:rPr>
          <w:rFonts w:ascii="Times New Roman;serif" w:hAnsi="Times New Roman;serif"/>
          <w:b w:val="false"/>
          <w:color w:val="000000"/>
          <w:sz w:val="22"/>
        </w:rPr>
        <w:t>means a Director who is an Employee.</w:t>
      </w:r>
    </w:p>
    <w:p>
      <w:pPr>
        <w:pStyle w:val="TextBody"/>
        <w:bidi w:val="0"/>
        <w:spacing w:lineRule="auto" w:line="288" w:before="120" w:after="120"/>
        <w:ind w:left="0" w:right="0" w:hanging="567"/>
        <w:jc w:val="left"/>
        <w:rPr/>
      </w:pPr>
      <w:r>
        <w:rPr>
          <w:rFonts w:ascii="Times New Roman;serif" w:hAnsi="Times New Roman;serif"/>
          <w:b w:val="false"/>
          <w:color w:val="231F20"/>
          <w:sz w:val="22"/>
        </w:rPr>
        <w:t>(v)</w:t>
      </w:r>
      <w:r>
        <w:rPr>
          <w:color w:val="000000"/>
        </w:rPr>
        <w:t>“</w:t>
      </w:r>
      <w:r>
        <w:rPr>
          <w:rFonts w:ascii="Times New Roman;serif" w:hAnsi="Times New Roman;serif"/>
          <w:b w:val="false"/>
          <w:color w:val="000000"/>
          <w:sz w:val="22"/>
          <w:u w:val="single"/>
        </w:rPr>
        <w:t>Nonstatutory Stock Option</w:t>
      </w:r>
      <w:r>
        <w:rPr>
          <w:color w:val="000000"/>
        </w:rPr>
        <w:t xml:space="preserve">” </w:t>
      </w:r>
      <w:r>
        <w:rPr>
          <w:rFonts w:ascii="Times New Roman;serif" w:hAnsi="Times New Roman;serif"/>
          <w:b w:val="false"/>
          <w:color w:val="000000"/>
          <w:sz w:val="22"/>
        </w:rPr>
        <w:t>means an Option that by its terms does not qualify or is not intended to qualify as an Incentive Stock Option.</w:t>
      </w:r>
    </w:p>
    <w:p>
      <w:pPr>
        <w:pStyle w:val="TextBody"/>
        <w:bidi w:val="0"/>
        <w:spacing w:lineRule="auto" w:line="288" w:before="120" w:after="120"/>
        <w:ind w:left="0" w:right="0" w:hanging="567"/>
        <w:jc w:val="left"/>
        <w:rPr/>
      </w:pPr>
      <w:r>
        <w:rPr>
          <w:rFonts w:ascii="Times New Roman;serif" w:hAnsi="Times New Roman;serif"/>
          <w:b w:val="false"/>
          <w:color w:val="231F20"/>
          <w:sz w:val="22"/>
        </w:rPr>
        <w:t>(w)</w:t>
      </w:r>
      <w:r>
        <w:rPr>
          <w:color w:val="000000"/>
        </w:rPr>
        <w:t>“</w:t>
      </w:r>
      <w:r>
        <w:rPr>
          <w:rFonts w:ascii="Times New Roman;serif" w:hAnsi="Times New Roman;serif"/>
          <w:b w:val="false"/>
          <w:color w:val="000000"/>
          <w:sz w:val="22"/>
          <w:u w:val="single"/>
        </w:rPr>
        <w:t>Officer</w:t>
      </w:r>
      <w:r>
        <w:rPr>
          <w:color w:val="000000"/>
        </w:rPr>
        <w:t xml:space="preserve">” </w:t>
      </w:r>
      <w:r>
        <w:rPr>
          <w:rFonts w:ascii="Times New Roman;serif" w:hAnsi="Times New Roman;serif"/>
          <w:b w:val="false"/>
          <w:color w:val="000000"/>
          <w:sz w:val="22"/>
        </w:rPr>
        <w:t>means a person who is an officer of the Company within the meaning of Section 16 of the Exchange Act and the rules and regulations promulgated thereunder.</w:t>
      </w:r>
    </w:p>
    <w:p>
      <w:pPr>
        <w:pStyle w:val="TextBody"/>
        <w:bidi w:val="0"/>
        <w:spacing w:lineRule="auto" w:line="288" w:before="120" w:after="120"/>
        <w:ind w:left="0" w:right="0" w:hanging="567"/>
        <w:jc w:val="left"/>
        <w:rPr/>
      </w:pPr>
      <w:r>
        <w:rPr>
          <w:rFonts w:ascii="Times New Roman;serif" w:hAnsi="Times New Roman;serif"/>
          <w:b w:val="false"/>
          <w:color w:val="231F20"/>
          <w:sz w:val="22"/>
        </w:rPr>
        <w:t>(x)</w:t>
      </w:r>
      <w:r>
        <w:rPr>
          <w:color w:val="000000"/>
        </w:rPr>
        <w:t>“</w:t>
      </w:r>
      <w:r>
        <w:rPr>
          <w:rFonts w:ascii="Times New Roman;serif" w:hAnsi="Times New Roman;serif"/>
          <w:b w:val="false"/>
          <w:color w:val="000000"/>
          <w:sz w:val="22"/>
          <w:u w:val="single"/>
        </w:rPr>
        <w:t>Option</w:t>
      </w:r>
      <w:r>
        <w:rPr>
          <w:color w:val="000000"/>
        </w:rPr>
        <w:t xml:space="preserve">” </w:t>
      </w:r>
      <w:r>
        <w:rPr>
          <w:rFonts w:ascii="Times New Roman;serif" w:hAnsi="Times New Roman;serif"/>
          <w:b w:val="false"/>
          <w:color w:val="000000"/>
          <w:sz w:val="22"/>
        </w:rPr>
        <w:t>means a stock option granted pursuant to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(y)</w:t>
      </w:r>
      <w:r>
        <w:rPr>
          <w:color w:val="000000"/>
        </w:rPr>
        <w:t>“</w:t>
      </w:r>
      <w:r>
        <w:rPr>
          <w:rFonts w:ascii="Times New Roman;serif" w:hAnsi="Times New Roman;serif"/>
          <w:b w:val="false"/>
          <w:color w:val="000000"/>
          <w:sz w:val="22"/>
          <w:u w:val="single"/>
        </w:rPr>
        <w:t>Outside Director</w:t>
      </w:r>
      <w:r>
        <w:rPr>
          <w:color w:val="000000"/>
        </w:rPr>
        <w:t xml:space="preserve">” </w:t>
      </w:r>
      <w:r>
        <w:rPr>
          <w:rFonts w:ascii="Times New Roman;serif" w:hAnsi="Times New Roman;serif"/>
          <w:b w:val="false"/>
          <w:color w:val="000000"/>
          <w:sz w:val="22"/>
        </w:rPr>
        <w:t>means a Director who is not an Employee.</w:t>
      </w:r>
    </w:p>
    <w:p>
      <w:pPr>
        <w:pStyle w:val="TextBody"/>
        <w:bidi w:val="0"/>
        <w:spacing w:lineRule="auto" w:line="288" w:before="120" w:after="120"/>
        <w:ind w:left="0" w:right="0" w:hanging="567"/>
        <w:jc w:val="left"/>
        <w:rPr/>
      </w:pPr>
      <w:r>
        <w:rPr>
          <w:rFonts w:ascii="Times New Roman;serif" w:hAnsi="Times New Roman;serif"/>
          <w:b w:val="false"/>
          <w:color w:val="231F20"/>
          <w:sz w:val="22"/>
        </w:rPr>
        <w:t>(z)</w:t>
      </w:r>
      <w:r>
        <w:rPr>
          <w:color w:val="000000"/>
        </w:rPr>
        <w:t>“</w:t>
      </w:r>
      <w:r>
        <w:rPr>
          <w:rFonts w:ascii="Times New Roman;serif" w:hAnsi="Times New Roman;serif"/>
          <w:b w:val="false"/>
          <w:color w:val="000000"/>
          <w:sz w:val="22"/>
          <w:u w:val="single"/>
        </w:rPr>
        <w:t>Parent</w:t>
      </w:r>
      <w:r>
        <w:rPr>
          <w:color w:val="000000"/>
        </w:rPr>
        <w:t xml:space="preserve">” </w:t>
      </w:r>
      <w:r>
        <w:rPr>
          <w:rFonts w:ascii="Times New Roman;serif" w:hAnsi="Times New Roman;serif"/>
          <w:b w:val="false"/>
          <w:color w:val="000000"/>
          <w:sz w:val="22"/>
        </w:rPr>
        <w:t>means a “parent corporation” of the Company, whether now or hereafter existing, as defined in Section 424(e) of the Code.</w:t>
      </w:r>
    </w:p>
    <w:p>
      <w:pPr>
        <w:pStyle w:val="TextBody"/>
        <w:bidi w:val="0"/>
        <w:spacing w:lineRule="auto" w:line="288" w:before="120" w:after="120"/>
        <w:ind w:left="0" w:right="0" w:hanging="567"/>
        <w:jc w:val="left"/>
        <w:rPr/>
      </w:pPr>
      <w:r>
        <w:rPr>
          <w:rFonts w:ascii="Times New Roman;serif" w:hAnsi="Times New Roman;serif"/>
          <w:b w:val="false"/>
          <w:color w:val="231F20"/>
          <w:sz w:val="22"/>
        </w:rPr>
        <w:t>(aa)</w:t>
      </w: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means the holder of an outstanding Award.</w:t>
      </w:r>
    </w:p>
    <w:p>
      <w:pPr>
        <w:pStyle w:val="TextBody"/>
        <w:bidi w:val="0"/>
        <w:spacing w:lineRule="auto" w:line="288" w:before="120" w:after="120"/>
        <w:ind w:left="0" w:right="0" w:hanging="567"/>
        <w:jc w:val="left"/>
        <w:rPr/>
      </w:pPr>
      <w:r>
        <w:rPr>
          <w:rFonts w:ascii="Times New Roman;serif" w:hAnsi="Times New Roman;serif"/>
          <w:b w:val="false"/>
          <w:color w:val="231F20"/>
          <w:sz w:val="22"/>
        </w:rPr>
        <w:t>(ab)</w:t>
      </w:r>
      <w:r>
        <w:rPr>
          <w:color w:val="000000"/>
        </w:rPr>
        <w:t>“</w:t>
      </w:r>
      <w:r>
        <w:rPr>
          <w:rFonts w:ascii="Times New Roman;serif" w:hAnsi="Times New Roman;serif"/>
          <w:b w:val="false"/>
          <w:color w:val="000000"/>
          <w:sz w:val="22"/>
          <w:u w:val="single"/>
        </w:rPr>
        <w:t>Performance Share</w:t>
      </w:r>
      <w:r>
        <w:rPr>
          <w:color w:val="000000"/>
        </w:rPr>
        <w:t xml:space="preserve">” </w:t>
      </w:r>
      <w:r>
        <w:rPr>
          <w:rFonts w:ascii="Times New Roman;serif" w:hAnsi="Times New Roman;serif"/>
          <w:b w:val="false"/>
          <w:color w:val="000000"/>
          <w:sz w:val="22"/>
        </w:rPr>
        <w:t>means an Award denominated in Shares which may be earned in whole or in part upon attainment of performance goals or other vesting criteria as the Administrator may determine pursuant to Section 10.</w:t>
      </w:r>
    </w:p>
    <w:p>
      <w:pPr>
        <w:pStyle w:val="TextBody"/>
        <w:bidi w:val="0"/>
        <w:spacing w:lineRule="auto" w:line="288" w:before="120" w:after="120"/>
        <w:ind w:left="0" w:right="0" w:hanging="567"/>
        <w:jc w:val="left"/>
        <w:rPr/>
      </w:pPr>
      <w:r>
        <w:rPr>
          <w:rFonts w:ascii="Times New Roman;serif" w:hAnsi="Times New Roman;serif"/>
          <w:b w:val="false"/>
          <w:color w:val="231F20"/>
          <w:sz w:val="22"/>
        </w:rPr>
        <w:t>(bb)</w:t>
      </w:r>
      <w:r>
        <w:rPr>
          <w:color w:val="000000"/>
        </w:rPr>
        <w:t>“</w:t>
      </w:r>
      <w:r>
        <w:rPr>
          <w:rFonts w:ascii="Times New Roman;serif" w:hAnsi="Times New Roman;serif"/>
          <w:b w:val="false"/>
          <w:color w:val="000000"/>
          <w:sz w:val="22"/>
          <w:u w:val="single"/>
        </w:rPr>
        <w:t>Performance Unit</w:t>
      </w:r>
      <w:r>
        <w:rPr>
          <w:color w:val="000000"/>
        </w:rPr>
        <w:t xml:space="preserve">” </w:t>
      </w:r>
      <w:r>
        <w:rPr>
          <w:rFonts w:ascii="Times New Roman;serif" w:hAnsi="Times New Roman;serif"/>
          <w:b w:val="false"/>
          <w:color w:val="000000"/>
          <w:sz w:val="22"/>
        </w:rPr>
        <w:t>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pStyle w:val="TextBody"/>
        <w:bidi w:val="0"/>
        <w:spacing w:lineRule="auto" w:line="288" w:before="120" w:after="120"/>
        <w:ind w:left="0" w:right="0" w:hanging="567"/>
        <w:jc w:val="left"/>
        <w:rPr/>
      </w:pPr>
      <w:r>
        <w:rPr>
          <w:rFonts w:ascii="Times New Roman;serif" w:hAnsi="Times New Roman;serif"/>
          <w:b w:val="false"/>
          <w:color w:val="231F20"/>
          <w:sz w:val="22"/>
        </w:rPr>
        <w:t>(cc)</w:t>
      </w:r>
      <w:r>
        <w:rPr>
          <w:color w:val="000000"/>
        </w:rPr>
        <w:t>“</w:t>
      </w:r>
      <w:r>
        <w:rPr>
          <w:rFonts w:ascii="Times New Roman;serif" w:hAnsi="Times New Roman;serif"/>
          <w:b w:val="false"/>
          <w:color w:val="000000"/>
          <w:sz w:val="22"/>
          <w:u w:val="single"/>
        </w:rPr>
        <w:t>Period of Restriction</w:t>
      </w:r>
      <w:r>
        <w:rPr>
          <w:color w:val="000000"/>
        </w:rPr>
        <w:t xml:space="preserve">” </w:t>
      </w:r>
      <w:r>
        <w:rPr>
          <w:rFonts w:ascii="Times New Roman;serif" w:hAnsi="Times New Roman;serif"/>
          <w:b w:val="false"/>
          <w:color w:val="000000"/>
          <w:sz w:val="22"/>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lineRule="auto" w:line="288" w:before="120" w:after="120"/>
        <w:ind w:left="0" w:right="0" w:hanging="567"/>
        <w:jc w:val="left"/>
        <w:rPr/>
      </w:pPr>
      <w:r>
        <w:rPr>
          <w:rFonts w:ascii="Times New Roman;serif" w:hAnsi="Times New Roman;serif"/>
          <w:b w:val="false"/>
          <w:color w:val="231F20"/>
          <w:sz w:val="22"/>
        </w:rPr>
        <w:t>(dd)</w:t>
      </w: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this Palo Alto Networks, Inc. 2021 Equity Incentive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(ee)</w:t>
      </w:r>
      <w:r>
        <w:rPr>
          <w:color w:val="000000"/>
        </w:rPr>
        <w:t>“</w:t>
      </w:r>
      <w:r>
        <w:rPr>
          <w:rFonts w:ascii="Times New Roman;serif" w:hAnsi="Times New Roman;serif"/>
          <w:b w:val="false"/>
          <w:color w:val="000000"/>
          <w:sz w:val="22"/>
          <w:u w:val="single"/>
        </w:rPr>
        <w:t>Restricted Stock</w:t>
      </w:r>
      <w:r>
        <w:rPr>
          <w:color w:val="000000"/>
        </w:rPr>
        <w:t xml:space="preserve">” </w:t>
      </w:r>
      <w:r>
        <w:rPr>
          <w:rFonts w:ascii="Times New Roman;serif" w:hAnsi="Times New Roman;serif"/>
          <w:b w:val="false"/>
          <w:color w:val="000000"/>
          <w:sz w:val="22"/>
        </w:rPr>
        <w:t>means Shares issued pursuant to a Restricted Stock award under Section 7 of the Plan, or issued pursuant to the early exercise of an Option.</w:t>
      </w:r>
    </w:p>
    <w:p>
      <w:pPr>
        <w:pStyle w:val="TextBody"/>
        <w:bidi w:val="0"/>
        <w:spacing w:lineRule="auto" w:line="288" w:before="0" w:after="120"/>
        <w:ind w:left="0" w:right="0" w:hanging="562"/>
        <w:jc w:val="left"/>
        <w:rPr/>
      </w:pPr>
      <w:r>
        <w:rPr>
          <w:rFonts w:ascii="Times New Roman;serif" w:hAnsi="Times New Roman;serif"/>
          <w:b w:val="false"/>
          <w:color w:val="231F20"/>
          <w:sz w:val="22"/>
        </w:rPr>
        <w:t>(ff)</w:t>
      </w:r>
      <w:r>
        <w:rPr>
          <w:color w:val="000000"/>
        </w:rPr>
        <w:t>“</w:t>
      </w:r>
      <w:r>
        <w:rPr>
          <w:rFonts w:ascii="Times New Roman;serif" w:hAnsi="Times New Roman;serif"/>
          <w:b w:val="false"/>
          <w:color w:val="000000"/>
          <w:sz w:val="22"/>
          <w:u w:val="single"/>
        </w:rPr>
        <w:t>Restricted Stock Unit</w:t>
      </w:r>
      <w:r>
        <w:rPr>
          <w:color w:val="000000"/>
        </w:rPr>
        <w:t xml:space="preserve">” </w:t>
      </w:r>
      <w:r>
        <w:rPr>
          <w:rFonts w:ascii="Times New Roman;serif" w:hAnsi="Times New Roman;serif"/>
          <w:b w:val="false"/>
          <w:color w:val="000000"/>
          <w:sz w:val="22"/>
        </w:rPr>
        <w:t>means a bookkeeping entry representing an amount equal to the Fair Market Value of one Share, granted pursuant to Section 8. Each Restricted Stock Unit represents an unfunded and unsecured obligation of the Company.</w:t>
      </w:r>
    </w:p>
    <w:p>
      <w:pPr>
        <w:pStyle w:val="TextBody"/>
        <w:bidi w:val="0"/>
        <w:spacing w:lineRule="auto" w:line="288" w:before="120" w:after="120"/>
        <w:ind w:left="0" w:right="0" w:hanging="567"/>
        <w:jc w:val="left"/>
        <w:rPr/>
      </w:pPr>
      <w:r>
        <w:rPr>
          <w:rFonts w:ascii="Times New Roman;serif" w:hAnsi="Times New Roman;serif"/>
          <w:b w:val="false"/>
          <w:color w:val="231F20"/>
          <w:sz w:val="22"/>
        </w:rPr>
        <w:t>(gg)</w:t>
      </w:r>
      <w:r>
        <w:rPr>
          <w:color w:val="000000"/>
        </w:rPr>
        <w:t>“</w:t>
      </w:r>
      <w:r>
        <w:rPr>
          <w:rFonts w:ascii="Times New Roman;serif" w:hAnsi="Times New Roman;serif"/>
          <w:b w:val="false"/>
          <w:color w:val="000000"/>
          <w:sz w:val="22"/>
          <w:u w:val="single"/>
        </w:rPr>
        <w:t>Rule 16b-3</w:t>
      </w:r>
      <w:r>
        <w:rPr>
          <w:color w:val="000000"/>
        </w:rPr>
        <w:t xml:space="preserve">” </w:t>
      </w:r>
      <w:r>
        <w:rPr>
          <w:rFonts w:ascii="Times New Roman;serif" w:hAnsi="Times New Roman;serif"/>
          <w:b w:val="false"/>
          <w:color w:val="000000"/>
          <w:sz w:val="22"/>
        </w:rPr>
        <w:t>means Rule 16b-3 of the Exchange Act or any successor to Rule 16b-3, as in effect when discretion is being exercised with respect to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(hh)</w:t>
      </w:r>
      <w:r>
        <w:rPr>
          <w:color w:val="000000"/>
        </w:rPr>
        <w:t>“</w:t>
      </w:r>
      <w:r>
        <w:rPr>
          <w:rFonts w:ascii="Times New Roman;serif" w:hAnsi="Times New Roman;serif"/>
          <w:b w:val="false"/>
          <w:color w:val="000000"/>
          <w:sz w:val="22"/>
          <w:u w:val="single"/>
        </w:rPr>
        <w:t>Section 16(b)</w:t>
      </w:r>
      <w:r>
        <w:rPr>
          <w:color w:val="000000"/>
        </w:rPr>
        <w:t xml:space="preserve">” </w:t>
      </w:r>
      <w:r>
        <w:rPr>
          <w:rFonts w:ascii="Times New Roman;serif" w:hAnsi="Times New Roman;serif"/>
          <w:b w:val="false"/>
          <w:color w:val="000000"/>
          <w:sz w:val="22"/>
        </w:rPr>
        <w:t>means Section 16(b) of the Exchange Act.</w:t>
      </w:r>
    </w:p>
    <w:p>
      <w:pPr>
        <w:pStyle w:val="TextBody"/>
        <w:bidi w:val="0"/>
        <w:spacing w:lineRule="auto" w:line="288" w:before="120" w:after="120"/>
        <w:ind w:left="0" w:right="0" w:hanging="567"/>
        <w:jc w:val="left"/>
        <w:rPr/>
      </w:pPr>
      <w:r>
        <w:rPr>
          <w:rFonts w:ascii="Times New Roman;serif" w:hAnsi="Times New Roman;serif"/>
          <w:b w:val="false"/>
          <w:color w:val="231F20"/>
          <w:sz w:val="22"/>
        </w:rPr>
        <w:t>(ii)</w:t>
      </w:r>
      <w:r>
        <w:rPr>
          <w:color w:val="000000"/>
        </w:rPr>
        <w:t>“</w:t>
      </w:r>
      <w:r>
        <w:rPr>
          <w:rFonts w:ascii="Times New Roman;serif" w:hAnsi="Times New Roman;serif"/>
          <w:b w:val="false"/>
          <w:color w:val="000000"/>
          <w:sz w:val="22"/>
          <w:u w:val="single"/>
        </w:rPr>
        <w:t>Section 409A</w:t>
      </w:r>
      <w:r>
        <w:rPr>
          <w:color w:val="000000"/>
        </w:rPr>
        <w:t xml:space="preserve">” </w:t>
      </w:r>
      <w:r>
        <w:rPr>
          <w:rFonts w:ascii="Times New Roman;serif" w:hAnsi="Times New Roman;serif"/>
          <w:b w:val="false"/>
          <w:color w:val="000000"/>
          <w:sz w:val="22"/>
        </w:rPr>
        <w:t>means Section 409A of the Code.</w:t>
      </w:r>
    </w:p>
    <w:p>
      <w:pPr>
        <w:pStyle w:val="TextBody"/>
        <w:bidi w:val="0"/>
        <w:spacing w:lineRule="auto" w:line="288" w:before="120" w:after="120"/>
        <w:ind w:left="0" w:right="0" w:hanging="567"/>
        <w:jc w:val="left"/>
        <w:rPr/>
      </w:pPr>
      <w:r>
        <w:rPr>
          <w:rFonts w:ascii="Times New Roman;serif" w:hAnsi="Times New Roman;serif"/>
          <w:b w:val="false"/>
          <w:color w:val="231F20"/>
          <w:sz w:val="22"/>
        </w:rPr>
        <w:t>(jj)</w:t>
      </w: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U.S. Securities Act of 1933.</w:t>
      </w:r>
    </w:p>
    <w:p>
      <w:pPr>
        <w:pStyle w:val="TextBody"/>
        <w:bidi w:val="0"/>
        <w:spacing w:lineRule="auto" w:line="288" w:before="120" w:after="120"/>
        <w:ind w:left="0" w:right="0" w:hanging="567"/>
        <w:jc w:val="left"/>
        <w:rPr/>
      </w:pPr>
      <w:r>
        <w:rPr>
          <w:rFonts w:ascii="Times New Roman;serif" w:hAnsi="Times New Roman;serif"/>
          <w:b w:val="false"/>
          <w:color w:val="231F20"/>
          <w:sz w:val="22"/>
        </w:rPr>
        <w:t>(kk)</w:t>
      </w:r>
      <w:r>
        <w:rPr>
          <w:color w:val="000000"/>
        </w:rPr>
        <w:t>“</w:t>
      </w:r>
      <w:r>
        <w:rPr>
          <w:rFonts w:ascii="Times New Roman;serif" w:hAnsi="Times New Roman;serif"/>
          <w:b w:val="false"/>
          <w:color w:val="000000"/>
          <w:sz w:val="22"/>
          <w:u w:val="single"/>
        </w:rPr>
        <w:t>Service Provider</w:t>
      </w:r>
      <w:r>
        <w:rPr>
          <w:color w:val="000000"/>
        </w:rPr>
        <w:t xml:space="preserve">” </w:t>
      </w:r>
      <w:r>
        <w:rPr>
          <w:rFonts w:ascii="Times New Roman;serif" w:hAnsi="Times New Roman;serif"/>
          <w:b w:val="false"/>
          <w:color w:val="000000"/>
          <w:sz w:val="22"/>
        </w:rPr>
        <w:t>means an Employee, Director or Consultant.</w:t>
      </w:r>
    </w:p>
    <w:p>
      <w:pPr>
        <w:pStyle w:val="TextBody"/>
        <w:bidi w:val="0"/>
        <w:spacing w:lineRule="auto" w:line="288" w:before="120" w:after="120"/>
        <w:ind w:left="0" w:right="0" w:hanging="570"/>
        <w:jc w:val="left"/>
        <w:rPr/>
      </w:pPr>
      <w:r>
        <w:rPr>
          <w:rFonts w:ascii="Times New Roman;serif" w:hAnsi="Times New Roman;serif"/>
          <w:b w:val="false"/>
          <w:color w:val="231F20"/>
          <w:sz w:val="22"/>
        </w:rPr>
        <w:t>(ll)</w:t>
      </w:r>
      <w:r>
        <w:rPr>
          <w:color w:val="000000"/>
        </w:rPr>
        <w:t>“</w:t>
      </w:r>
      <w:r>
        <w:rPr>
          <w:rFonts w:ascii="Times New Roman;serif" w:hAnsi="Times New Roman;serif"/>
          <w:b w:val="false"/>
          <w:color w:val="000000"/>
          <w:sz w:val="22"/>
          <w:u w:val="single"/>
        </w:rPr>
        <w:t>Share</w:t>
      </w:r>
      <w:r>
        <w:rPr>
          <w:color w:val="000000"/>
        </w:rPr>
        <w:t xml:space="preserve">” </w:t>
      </w:r>
      <w:r>
        <w:rPr>
          <w:rFonts w:ascii="Times New Roman;serif" w:hAnsi="Times New Roman;serif"/>
          <w:b w:val="false"/>
          <w:color w:val="000000"/>
          <w:sz w:val="22"/>
        </w:rPr>
        <w:t>means a share of the Common Stock, as adjusted in accordance with Section 14 of the Plan.</w:t>
      </w:r>
    </w:p>
    <w:p>
      <w:pPr>
        <w:pStyle w:val="TextBody"/>
        <w:bidi w:val="0"/>
        <w:spacing w:lineRule="auto" w:line="288" w:before="120" w:after="120"/>
        <w:ind w:left="0" w:right="0" w:hanging="570"/>
        <w:jc w:val="left"/>
        <w:rPr/>
      </w:pPr>
      <w:r>
        <w:rPr>
          <w:rFonts w:ascii="Times New Roman;serif" w:hAnsi="Times New Roman;serif"/>
          <w:b w:val="false"/>
          <w:color w:val="231F20"/>
          <w:sz w:val="22"/>
        </w:rPr>
        <w:t>(mm)</w:t>
      </w:r>
      <w:r>
        <w:rPr>
          <w:color w:val="000000"/>
        </w:rPr>
        <w:t>“</w:t>
      </w:r>
      <w:r>
        <w:rPr>
          <w:rFonts w:ascii="Times New Roman;serif" w:hAnsi="Times New Roman;serif"/>
          <w:b w:val="false"/>
          <w:color w:val="000000"/>
          <w:sz w:val="22"/>
          <w:u w:val="single"/>
        </w:rPr>
        <w:t>Stock Appreciation Right</w:t>
      </w:r>
      <w:r>
        <w:rPr>
          <w:color w:val="000000"/>
        </w:rPr>
        <w:t xml:space="preserve">” </w:t>
      </w:r>
      <w:r>
        <w:rPr>
          <w:rFonts w:ascii="Times New Roman;serif" w:hAnsi="Times New Roman;serif"/>
          <w:b w:val="false"/>
          <w:color w:val="000000"/>
          <w:sz w:val="22"/>
        </w:rPr>
        <w:t>means an Award, granted alone or in connection with an Option, that pursuant to Section 9 is designated as a Stock Appreciation Right.</w:t>
      </w:r>
    </w:p>
    <w:p>
      <w:pPr>
        <w:pStyle w:val="TextBody"/>
        <w:bidi w:val="0"/>
        <w:spacing w:lineRule="auto" w:line="288" w:before="120" w:after="120"/>
        <w:ind w:left="0" w:right="0" w:hanging="570"/>
        <w:jc w:val="left"/>
        <w:rPr/>
      </w:pPr>
      <w:r>
        <w:rPr>
          <w:rFonts w:ascii="Times New Roman;serif" w:hAnsi="Times New Roman;serif"/>
          <w:b w:val="false"/>
          <w:color w:val="231F20"/>
          <w:sz w:val="22"/>
        </w:rPr>
        <w:t>(nn)</w:t>
      </w: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a “subsidiary corporation” of the Company whether now or hereafter existing, as defined in Section 424(f) of the Code.</w:t>
      </w:r>
    </w:p>
    <w:p>
      <w:pPr>
        <w:pStyle w:val="TextBody"/>
        <w:bidi w:val="0"/>
        <w:spacing w:lineRule="auto" w:line="288" w:before="120" w:after="120"/>
        <w:ind w:left="0" w:right="0" w:hanging="567"/>
        <w:jc w:val="left"/>
        <w:rPr/>
      </w:pPr>
      <w:r>
        <w:rPr>
          <w:rFonts w:ascii="Times New Roman;serif" w:hAnsi="Times New Roman;serif"/>
          <w:b w:val="false"/>
          <w:color w:val="231F20"/>
          <w:sz w:val="22"/>
        </w:rPr>
        <w:t>(oo)</w:t>
      </w:r>
      <w:r>
        <w:rPr>
          <w:color w:val="000000"/>
        </w:rPr>
        <w:t>“</w:t>
      </w:r>
      <w:r>
        <w:rPr>
          <w:rFonts w:ascii="Times New Roman;serif" w:hAnsi="Times New Roman;serif"/>
          <w:b w:val="false"/>
          <w:color w:val="000000"/>
          <w:sz w:val="22"/>
          <w:u w:val="single"/>
        </w:rPr>
        <w:t>Substituted Award</w:t>
      </w:r>
      <w:r>
        <w:rPr>
          <w:color w:val="000000"/>
        </w:rPr>
        <w:t xml:space="preserve">” </w:t>
      </w:r>
      <w:r>
        <w:rPr>
          <w:rFonts w:ascii="Times New Roman;serif" w:hAnsi="Times New Roman;serif"/>
          <w:b w:val="false"/>
          <w:color w:val="000000"/>
          <w:sz w:val="22"/>
        </w:rPr>
        <w:t>means an Award granted in substitution for an equity award of an acquired entity in connection with a merger, reorganization, separation, or other transaction to which Section 424(a) of the Code applies.</w:t>
      </w:r>
    </w:p>
    <w:p>
      <w:pPr>
        <w:pStyle w:val="TextBody"/>
        <w:bidi w:val="0"/>
        <w:spacing w:lineRule="auto" w:line="288" w:before="120" w:after="120"/>
        <w:ind w:left="0" w:right="0" w:hanging="567"/>
        <w:jc w:val="left"/>
        <w:rPr/>
      </w:pPr>
      <w:r>
        <w:rPr>
          <w:rFonts w:ascii="Times New Roman;serif" w:hAnsi="Times New Roman;serif"/>
          <w:b w:val="false"/>
          <w:color w:val="231F20"/>
          <w:sz w:val="22"/>
        </w:rPr>
        <w:t>(pp)</w:t>
      </w:r>
      <w:r>
        <w:rPr>
          <w:color w:val="000000"/>
        </w:rPr>
        <w:t>“</w:t>
      </w:r>
      <w:r>
        <w:rPr>
          <w:rFonts w:ascii="Times New Roman;serif" w:hAnsi="Times New Roman;serif"/>
          <w:b w:val="false"/>
          <w:color w:val="000000"/>
          <w:sz w:val="22"/>
          <w:u w:val="single"/>
        </w:rPr>
        <w:t>Tax-Related Items</w:t>
      </w:r>
      <w:r>
        <w:rPr>
          <w:color w:val="000000"/>
        </w:rPr>
        <w:t xml:space="preserve">” </w:t>
      </w:r>
      <w:r>
        <w:rPr>
          <w:rFonts w:ascii="Times New Roman;serif" w:hAnsi="Times New Roman;serif"/>
          <w:b w:val="false"/>
          <w:color w:val="000000"/>
          <w:sz w:val="22"/>
        </w:rPr>
        <w:t>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pStyle w:val="TextBody"/>
        <w:bidi w:val="0"/>
        <w:spacing w:lineRule="auto" w:line="288" w:before="120" w:after="120"/>
        <w:ind w:left="0" w:right="0" w:hanging="567"/>
        <w:jc w:val="left"/>
        <w:rPr/>
      </w:pPr>
      <w:r>
        <w:rPr>
          <w:rFonts w:ascii="Times New Roman;serif" w:hAnsi="Times New Roman;serif"/>
          <w:b w:val="false"/>
          <w:color w:val="231F20"/>
          <w:sz w:val="22"/>
        </w:rPr>
        <w:t>(qq)</w:t>
      </w:r>
      <w:r>
        <w:rPr>
          <w:color w:val="000000"/>
        </w:rPr>
        <w:t>“</w:t>
      </w:r>
      <w:r>
        <w:rPr>
          <w:rFonts w:ascii="Times New Roman;serif" w:hAnsi="Times New Roman;serif"/>
          <w:b w:val="false"/>
          <w:color w:val="000000"/>
          <w:sz w:val="22"/>
          <w:u w:val="single"/>
        </w:rPr>
        <w:t>Trading Day</w:t>
      </w:r>
      <w:r>
        <w:rPr>
          <w:color w:val="000000"/>
        </w:rPr>
        <w:t xml:space="preserve">” </w:t>
      </w:r>
      <w:r>
        <w:rPr>
          <w:rFonts w:ascii="Times New Roman;serif" w:hAnsi="Times New Roman;serif"/>
          <w:b w:val="false"/>
          <w:color w:val="000000"/>
          <w:sz w:val="22"/>
        </w:rPr>
        <w:t>means a day that the primary stock exchange, national market system, or other trading platform, as applicable, upon which the Common Stock is listed is open for trading.</w:t>
      </w:r>
    </w:p>
    <w:p>
      <w:pPr>
        <w:pStyle w:val="TextBody"/>
        <w:bidi w:val="0"/>
        <w:spacing w:lineRule="auto" w:line="288" w:before="120" w:after="120"/>
        <w:ind w:left="0" w:right="0" w:hanging="360"/>
        <w:jc w:val="left"/>
        <w:rPr/>
      </w:pPr>
      <w:r>
        <w:rPr>
          <w:rFonts w:ascii="Times New Roman;serif" w:hAnsi="Times New Roman;serif"/>
          <w:b w:val="false"/>
          <w:color w:val="231F20"/>
          <w:sz w:val="22"/>
        </w:rPr>
        <w:t>3.</w:t>
      </w:r>
      <w:r>
        <w:rPr>
          <w:rFonts w:ascii="Times New Roman;serif" w:hAnsi="Times New Roman;serif"/>
          <w:b w:val="false"/>
          <w:color w:val="000000"/>
          <w:sz w:val="22"/>
          <w:u w:val="single"/>
        </w:rPr>
        <w:t>Stock Subject to the Plan.</w:t>
      </w:r>
    </w:p>
    <w:p>
      <w:pPr>
        <w:pStyle w:val="TextBody"/>
        <w:bidi w:val="0"/>
        <w:spacing w:lineRule="auto" w:line="288" w:before="120" w:after="120"/>
        <w:ind w:left="0" w:right="0" w:hanging="555"/>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Stock Subject to the Plan</w:t>
      </w:r>
      <w:r>
        <w:rPr>
          <w:rFonts w:ascii="Times New Roman;serif" w:hAnsi="Times New Roman;serif"/>
          <w:b w:val="false"/>
          <w:color w:val="000000"/>
          <w:sz w:val="22"/>
        </w:rPr>
        <w:t>. Subject to the provisions of Section 14 of the Plan, the maximum aggregate number of Shares that may be issued under the Plan is (i) 54,370,000 Shares, plus (ii) any Shares subject to awards granted under the Company’s 2012 Equity Incentive Plan, as amended, that, (A) on or after the date stockholders initially approved the Plan through the Amendment Date, have been added to the Plan pursuant to the prior terms of this Section 3 and (B) after the Amendment Date, expire or otherwise terminate without having been exercised or issued in full, or are forfeited to or repurchased by the Company due to failure to vest, with the maximum number of Shares to be added to the Plan pursuant to clause (ii) equal to 63,480,126 Shares. In addition, Shares may become available for issuance under the Plan pursuant to Section 3(b). The Shares may be authorized, but unissued, or reacquired Common Stock. If the Committee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pStyle w:val="TextBody"/>
        <w:bidi w:val="0"/>
        <w:spacing w:lineRule="auto" w:line="288" w:before="120" w:after="120"/>
        <w:ind w:left="0" w:right="0" w:hanging="555"/>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Lapsed Awards</w:t>
      </w:r>
      <w:r>
        <w:rPr>
          <w:rFonts w:ascii="Times New Roman;serif" w:hAnsi="Times New Roman;serif"/>
          <w:b w:val="false"/>
          <w:color w:val="000000"/>
          <w:sz w:val="22"/>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this Section 3(b).</w:t>
      </w:r>
    </w:p>
    <w:p>
      <w:pPr>
        <w:pStyle w:val="TextBody"/>
        <w:bidi w:val="0"/>
        <w:spacing w:lineRule="auto" w:line="288" w:before="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Share Reserve</w:t>
      </w:r>
      <w:r>
        <w:rPr>
          <w:rFonts w:ascii="Times New Roman;serif" w:hAnsi="Times New Roman;serif"/>
          <w:b w:val="false"/>
          <w:color w:val="000000"/>
          <w:sz w:val="22"/>
        </w:rPr>
        <w:t>. The Company, at all times during the term of this Plan, will reserve and keep available such number of Shares as will be sufficient to satisfy the requirements of the Plan.</w:t>
      </w:r>
    </w:p>
    <w:p>
      <w:pPr>
        <w:pStyle w:val="TextBody"/>
        <w:bidi w:val="0"/>
        <w:spacing w:lineRule="auto" w:line="288" w:before="120" w:after="120"/>
        <w:ind w:left="0" w:right="0" w:hanging="360"/>
        <w:jc w:val="left"/>
        <w:rPr/>
      </w:pPr>
      <w:r>
        <w:rPr>
          <w:rFonts w:ascii="Times New Roman;serif" w:hAnsi="Times New Roman;serif"/>
          <w:b w:val="false"/>
          <w:color w:val="231F20"/>
          <w:sz w:val="22"/>
        </w:rPr>
        <w:t>4.</w:t>
      </w:r>
      <w:r>
        <w:rPr>
          <w:rFonts w:ascii="Times New Roman;serif" w:hAnsi="Times New Roman;serif"/>
          <w:b w:val="false"/>
          <w:color w:val="000000"/>
          <w:sz w:val="22"/>
          <w:u w:val="single"/>
        </w:rPr>
        <w:t>Administration of the Plan</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Procedure</w:t>
      </w:r>
      <w:r>
        <w:rPr>
          <w:rFonts w:ascii="Times New Roman;serif" w:hAnsi="Times New Roman;serif"/>
          <w:b w:val="false"/>
          <w:color w:val="000000"/>
          <w:sz w:val="22"/>
        </w:rPr>
        <w:t>.</w:t>
      </w:r>
    </w:p>
    <w:p>
      <w:pPr>
        <w:pStyle w:val="TextBody"/>
        <w:bidi w:val="0"/>
        <w:spacing w:lineRule="auto" w:line="288" w:before="120" w:after="120"/>
        <w:ind w:left="0" w:right="0" w:hanging="567"/>
        <w:jc w:val="left"/>
        <w:rPr/>
      </w:pPr>
      <w:r>
        <w:rPr>
          <w:rFonts w:ascii="Times New Roman;serif" w:hAnsi="Times New Roman;serif"/>
          <w:b w:val="false"/>
          <w:color w:val="231F20"/>
          <w:sz w:val="22"/>
        </w:rPr>
        <w:t>(i)</w:t>
      </w:r>
      <w:r>
        <w:rPr>
          <w:rFonts w:ascii="Times New Roman;serif" w:hAnsi="Times New Roman;serif"/>
          <w:b w:val="false"/>
          <w:color w:val="000000"/>
          <w:sz w:val="22"/>
          <w:u w:val="single"/>
        </w:rPr>
        <w:t>General</w:t>
      </w:r>
      <w:r>
        <w:rPr>
          <w:rFonts w:ascii="Times New Roman;serif" w:hAnsi="Times New Roman;serif"/>
          <w:b w:val="false"/>
          <w:color w:val="000000"/>
          <w:sz w:val="22"/>
        </w:rPr>
        <w:t>.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pStyle w:val="TextBody"/>
        <w:bidi w:val="0"/>
        <w:spacing w:lineRule="auto" w:line="288" w:before="120" w:after="120"/>
        <w:ind w:left="0" w:right="0" w:hanging="567"/>
        <w:jc w:val="left"/>
        <w:rPr/>
      </w:pPr>
      <w:r>
        <w:rPr>
          <w:rFonts w:ascii="Times New Roman;serif" w:hAnsi="Times New Roman;serif"/>
          <w:b w:val="false"/>
          <w:color w:val="231F20"/>
          <w:sz w:val="22"/>
        </w:rPr>
        <w:t>(ii)</w:t>
      </w:r>
      <w:r>
        <w:rPr>
          <w:rFonts w:ascii="Times New Roman;serif" w:hAnsi="Times New Roman;serif"/>
          <w:b w:val="false"/>
          <w:color w:val="000000"/>
          <w:sz w:val="22"/>
          <w:u w:val="single"/>
        </w:rPr>
        <w:t>Rule 16b-3</w:t>
      </w:r>
      <w:r>
        <w:rPr>
          <w:rFonts w:ascii="Times New Roman;serif" w:hAnsi="Times New Roman;serif"/>
          <w:b w:val="false"/>
          <w:color w:val="000000"/>
          <w:sz w:val="22"/>
        </w:rPr>
        <w:t>. To the extent desirable to qualify transactions hereunder as exempt under Rule 16b-3, the transactions contemplated hereunder will be structured to satisfy the requirements for exemption under Rule 16b-3.</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 xml:space="preserve">Powers of the Administrator. </w:t>
      </w:r>
      <w:r>
        <w:rPr>
          <w:rFonts w:ascii="Times New Roman;serif" w:hAnsi="Times New Roman;serif"/>
          <w:b w:val="false"/>
          <w:color w:val="000000"/>
          <w:sz w:val="22"/>
        </w:rPr>
        <w:t>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pStyle w:val="TextBody"/>
        <w:bidi w:val="0"/>
        <w:spacing w:lineRule="auto" w:line="288" w:before="120" w:after="120"/>
        <w:ind w:left="0" w:right="0" w:hanging="567"/>
        <w:jc w:val="left"/>
        <w:rPr/>
      </w:pPr>
      <w:r>
        <w:rPr>
          <w:rFonts w:ascii="Times New Roman;serif" w:hAnsi="Times New Roman;serif"/>
          <w:b w:val="false"/>
          <w:color w:val="231F20"/>
          <w:sz w:val="22"/>
        </w:rPr>
        <w:t>(i)</w:t>
      </w:r>
      <w:r>
        <w:rPr>
          <w:rFonts w:ascii="Times New Roman;serif" w:hAnsi="Times New Roman;serif"/>
          <w:b w:val="false"/>
          <w:color w:val="000000"/>
          <w:sz w:val="22"/>
        </w:rPr>
        <w:t>determine the Fair Market Value;</w:t>
      </w:r>
    </w:p>
    <w:p>
      <w:pPr>
        <w:pStyle w:val="TextBody"/>
        <w:bidi w:val="0"/>
        <w:spacing w:lineRule="auto" w:line="288" w:before="120" w:after="120"/>
        <w:ind w:left="0" w:right="0" w:hanging="567"/>
        <w:jc w:val="left"/>
        <w:rPr/>
      </w:pPr>
      <w:r>
        <w:rPr>
          <w:rFonts w:ascii="Times New Roman;serif" w:hAnsi="Times New Roman;serif"/>
          <w:b w:val="false"/>
          <w:color w:val="231F20"/>
          <w:sz w:val="22"/>
        </w:rPr>
        <w:t>(ii)</w:t>
      </w:r>
      <w:r>
        <w:rPr>
          <w:rFonts w:ascii="Times New Roman;serif" w:hAnsi="Times New Roman;serif"/>
          <w:b w:val="false"/>
          <w:color w:val="000000"/>
          <w:sz w:val="22"/>
        </w:rPr>
        <w:t>select the Service Providers to whom Awards may be granted hereunder;</w:t>
      </w:r>
    </w:p>
    <w:p>
      <w:pPr>
        <w:pStyle w:val="TextBody"/>
        <w:bidi w:val="0"/>
        <w:spacing w:lineRule="auto" w:line="288" w:before="120" w:after="120"/>
        <w:ind w:left="0" w:right="0" w:hanging="567"/>
        <w:jc w:val="left"/>
        <w:rPr/>
      </w:pPr>
      <w:r>
        <w:rPr>
          <w:rFonts w:ascii="Times New Roman;serif" w:hAnsi="Times New Roman;serif"/>
          <w:b w:val="false"/>
          <w:color w:val="231F20"/>
          <w:sz w:val="22"/>
        </w:rPr>
        <w:t>(iii)</w:t>
      </w:r>
      <w:r>
        <w:rPr>
          <w:rFonts w:ascii="Times New Roman;serif" w:hAnsi="Times New Roman;serif"/>
          <w:b w:val="false"/>
          <w:color w:val="000000"/>
          <w:sz w:val="22"/>
        </w:rPr>
        <w:t>determine the number of Shares to be covered by each Award granted hereunder;</w:t>
      </w:r>
    </w:p>
    <w:p>
      <w:pPr>
        <w:pStyle w:val="TextBody"/>
        <w:bidi w:val="0"/>
        <w:spacing w:lineRule="auto" w:line="288" w:before="120" w:after="120"/>
        <w:ind w:left="0" w:right="0" w:hanging="567"/>
        <w:jc w:val="left"/>
        <w:rPr/>
      </w:pPr>
      <w:r>
        <w:rPr>
          <w:rFonts w:ascii="Times New Roman;serif" w:hAnsi="Times New Roman;serif"/>
          <w:b w:val="false"/>
          <w:color w:val="231F20"/>
          <w:sz w:val="22"/>
        </w:rPr>
        <w:t>(iv)</w:t>
      </w:r>
      <w:r>
        <w:rPr>
          <w:rFonts w:ascii="Times New Roman;serif" w:hAnsi="Times New Roman;serif"/>
          <w:b w:val="false"/>
          <w:color w:val="000000"/>
          <w:sz w:val="22"/>
        </w:rPr>
        <w:t>approve forms of Award Agreements for use under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(v)</w:t>
      </w:r>
      <w:r>
        <w:rPr>
          <w:rFonts w:ascii="Times New Roman;serif" w:hAnsi="Times New Roman;serif"/>
          <w:b w:val="false"/>
          <w:color w:val="000000"/>
          <w:sz w:val="22"/>
        </w:rPr>
        <w:t xml:space="preserve">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restrictions, and any restriction or limitation regarding any Award or the Shares relating to an Award;</w:t>
      </w:r>
    </w:p>
    <w:p>
      <w:pPr>
        <w:pStyle w:val="TextBody"/>
        <w:bidi w:val="0"/>
        <w:spacing w:lineRule="auto" w:line="288" w:before="120" w:after="120"/>
        <w:ind w:left="0" w:right="0" w:hanging="567"/>
        <w:jc w:val="left"/>
        <w:rPr/>
      </w:pPr>
      <w:r>
        <w:rPr>
          <w:rFonts w:ascii="Times New Roman;serif" w:hAnsi="Times New Roman;serif"/>
          <w:b w:val="false"/>
          <w:color w:val="231F20"/>
          <w:sz w:val="22"/>
        </w:rPr>
        <w:t>(vi)</w:t>
      </w:r>
      <w:r>
        <w:rPr>
          <w:rFonts w:ascii="Times New Roman;serif" w:hAnsi="Times New Roman;serif"/>
          <w:b w:val="false"/>
          <w:color w:val="000000"/>
          <w:sz w:val="22"/>
        </w:rPr>
        <w:t>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w:t>
      </w:r>
    </w:p>
    <w:p>
      <w:pPr>
        <w:pStyle w:val="TextBody"/>
        <w:bidi w:val="0"/>
        <w:spacing w:lineRule="auto" w:line="288" w:before="120" w:after="120"/>
        <w:ind w:left="0" w:right="0" w:hanging="567"/>
        <w:jc w:val="left"/>
        <w:rPr/>
      </w:pPr>
      <w:r>
        <w:rPr>
          <w:rFonts w:ascii="Times New Roman;serif" w:hAnsi="Times New Roman;serif"/>
          <w:b w:val="false"/>
          <w:color w:val="231F20"/>
          <w:sz w:val="22"/>
        </w:rPr>
        <w:t>(vii)</w:t>
      </w:r>
      <w:r>
        <w:rPr>
          <w:rFonts w:ascii="Times New Roman;serif" w:hAnsi="Times New Roman;serif"/>
          <w:b w:val="false"/>
          <w:color w:val="000000"/>
          <w:sz w:val="22"/>
        </w:rPr>
        <w:t>interpret the Plan and make any decision necessary to administer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(viii)</w:t>
      </w:r>
      <w:r>
        <w:rPr>
          <w:rFonts w:ascii="Times New Roman;serif" w:hAnsi="Times New Roman;serif"/>
          <w:b w:val="false"/>
          <w:color w:val="000000"/>
          <w:sz w:val="22"/>
        </w:rPr>
        <w:t>interpret, modify or amend each Award (subject to Section 17(c) of the Plan), including without limitation the discretionary authority to extend the post-termination exercisability period of Awards;</w:t>
      </w:r>
    </w:p>
    <w:p>
      <w:pPr>
        <w:pStyle w:val="TextBody"/>
        <w:bidi w:val="0"/>
        <w:spacing w:lineRule="auto" w:line="288" w:before="120" w:after="120"/>
        <w:ind w:left="0" w:right="0" w:hanging="567"/>
        <w:jc w:val="left"/>
        <w:rPr/>
      </w:pPr>
      <w:r>
        <w:rPr>
          <w:rFonts w:ascii="Times New Roman;serif" w:hAnsi="Times New Roman;serif"/>
          <w:b w:val="false"/>
          <w:color w:val="231F20"/>
          <w:sz w:val="22"/>
        </w:rPr>
        <w:t>(ix)</w:t>
      </w:r>
      <w:r>
        <w:rPr>
          <w:rFonts w:ascii="Times New Roman;serif" w:hAnsi="Times New Roman;serif"/>
          <w:b w:val="false"/>
          <w:color w:val="000000"/>
          <w:sz w:val="22"/>
        </w:rPr>
        <w:t>allow Participants to satisfy tax withholding obligations in a manner prescribed in Section 15 of the Plan;</w:t>
      </w:r>
    </w:p>
    <w:p>
      <w:pPr>
        <w:pStyle w:val="TextBody"/>
        <w:bidi w:val="0"/>
        <w:spacing w:lineRule="auto" w:line="288" w:before="120" w:after="120"/>
        <w:ind w:left="0" w:right="0" w:hanging="567"/>
        <w:jc w:val="left"/>
        <w:rPr/>
      </w:pPr>
      <w:r>
        <w:rPr>
          <w:rFonts w:ascii="Times New Roman;serif" w:hAnsi="Times New Roman;serif"/>
          <w:b w:val="false"/>
          <w:color w:val="231F20"/>
          <w:sz w:val="22"/>
        </w:rPr>
        <w:t>(x)</w:t>
      </w:r>
      <w:r>
        <w:rPr>
          <w:rFonts w:ascii="Times New Roman;serif" w:hAnsi="Times New Roman;serif"/>
          <w:b w:val="false"/>
          <w:color w:val="000000"/>
          <w:sz w:val="22"/>
        </w:rPr>
        <w:t>authorize any person to execute on behalf of the Company any instrument required to effect the grant of an Award previously granted by the Administrator;</w:t>
      </w:r>
    </w:p>
    <w:p>
      <w:pPr>
        <w:pStyle w:val="TextBody"/>
        <w:bidi w:val="0"/>
        <w:spacing w:lineRule="auto" w:line="288" w:before="120" w:after="120"/>
        <w:ind w:left="0" w:right="0" w:hanging="567"/>
        <w:jc w:val="left"/>
        <w:rPr/>
      </w:pPr>
      <w:r>
        <w:rPr>
          <w:rFonts w:ascii="Times New Roman;serif" w:hAnsi="Times New Roman;serif"/>
          <w:b w:val="false"/>
          <w:color w:val="231F20"/>
          <w:sz w:val="22"/>
        </w:rPr>
        <w:t>(xi)</w:t>
      </w:r>
      <w:r>
        <w:rPr>
          <w:rFonts w:ascii="Times New Roman;serif" w:hAnsi="Times New Roman;serif"/>
          <w:b w:val="false"/>
          <w:color w:val="000000"/>
          <w:sz w:val="22"/>
        </w:rPr>
        <w:t>delegate ministerial duties to any of the Company’s employees;</w:t>
      </w:r>
    </w:p>
    <w:p>
      <w:pPr>
        <w:pStyle w:val="TextBody"/>
        <w:bidi w:val="0"/>
        <w:spacing w:lineRule="auto" w:line="288" w:before="120" w:after="120"/>
        <w:ind w:left="0" w:right="0" w:hanging="567"/>
        <w:jc w:val="left"/>
        <w:rPr/>
      </w:pPr>
      <w:r>
        <w:rPr>
          <w:rFonts w:ascii="Times New Roman;serif" w:hAnsi="Times New Roman;serif"/>
          <w:b w:val="false"/>
          <w:color w:val="231F20"/>
          <w:sz w:val="22"/>
        </w:rPr>
        <w:t>(xii)</w:t>
      </w:r>
      <w:r>
        <w:rPr>
          <w:rFonts w:ascii="Times New Roman;serif" w:hAnsi="Times New Roman;serif"/>
          <w:b w:val="false"/>
          <w:color w:val="000000"/>
          <w:sz w:val="22"/>
        </w:rPr>
        <w:t>temporarily suspend the exercisability of an Award if the Administrator deems such suspension to be necessary or appropriate for administrative purposes;</w:t>
      </w:r>
    </w:p>
    <w:p>
      <w:pPr>
        <w:pStyle w:val="TextBody"/>
        <w:bidi w:val="0"/>
        <w:spacing w:lineRule="auto" w:line="288" w:before="120" w:after="120"/>
        <w:ind w:left="0" w:right="0" w:hanging="567"/>
        <w:jc w:val="left"/>
        <w:rPr/>
      </w:pPr>
      <w:r>
        <w:rPr>
          <w:rFonts w:ascii="Times New Roman;serif" w:hAnsi="Times New Roman;serif"/>
          <w:b w:val="false"/>
          <w:color w:val="231F20"/>
          <w:sz w:val="22"/>
        </w:rPr>
        <w:t>(xiii)</w:t>
      </w:r>
      <w:r>
        <w:rPr>
          <w:rFonts w:ascii="Times New Roman;serif" w:hAnsi="Times New Roman;serif"/>
          <w:b w:val="false"/>
          <w:color w:val="000000"/>
          <w:sz w:val="22"/>
        </w:rPr>
        <w:t>allow a Participant to defer the receipt of the payment of cash or the delivery of Shares that otherwise would be due to the Participant under an Award; and</w:t>
      </w:r>
    </w:p>
    <w:p>
      <w:pPr>
        <w:pStyle w:val="TextBody"/>
        <w:bidi w:val="0"/>
        <w:spacing w:lineRule="auto" w:line="288" w:before="120" w:after="120"/>
        <w:ind w:left="0" w:right="0" w:hanging="567"/>
        <w:jc w:val="left"/>
        <w:rPr/>
      </w:pPr>
      <w:r>
        <w:rPr>
          <w:rFonts w:ascii="Times New Roman;serif" w:hAnsi="Times New Roman;serif"/>
          <w:b w:val="false"/>
          <w:color w:val="231F20"/>
          <w:sz w:val="22"/>
        </w:rPr>
        <w:t>(xiv)</w:t>
      </w:r>
      <w:r>
        <w:rPr>
          <w:rFonts w:ascii="Times New Roman;serif" w:hAnsi="Times New Roman;serif"/>
          <w:b w:val="false"/>
          <w:color w:val="000000"/>
          <w:sz w:val="22"/>
        </w:rPr>
        <w:t>make all other determinations deemed necessary or advisable for administering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Grant Date</w:t>
      </w:r>
      <w:r>
        <w:rPr>
          <w:rFonts w:ascii="Times New Roman;serif" w:hAnsi="Times New Roman;serif"/>
          <w:b w:val="false"/>
          <w:color w:val="000000"/>
          <w:sz w:val="22"/>
        </w:rPr>
        <w:t>.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pStyle w:val="TextBody"/>
        <w:bidi w:val="0"/>
        <w:spacing w:lineRule="auto" w:line="288" w:before="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Waiver</w:t>
      </w:r>
      <w:r>
        <w:rPr>
          <w:rFonts w:ascii="Times New Roman;serif" w:hAnsi="Times New Roman;serif"/>
          <w:b w:val="false"/>
          <w:color w:val="000000"/>
          <w:sz w:val="22"/>
        </w:rPr>
        <w:t>. The Administrator may waive any terms, conditions or restrictions.</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Fractional Shares</w:t>
      </w:r>
      <w:r>
        <w:rPr>
          <w:rFonts w:ascii="Times New Roman;serif" w:hAnsi="Times New Roman;serif"/>
          <w:b w:val="false"/>
          <w:color w:val="000000"/>
          <w:sz w:val="22"/>
        </w:rPr>
        <w:t>.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pStyle w:val="TextBody"/>
        <w:bidi w:val="0"/>
        <w:spacing w:lineRule="auto" w:line="288" w:before="12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Electronic Delivery</w:t>
      </w:r>
      <w:r>
        <w:rPr>
          <w:rFonts w:ascii="Times New Roman;serif" w:hAnsi="Times New Roman;serif"/>
          <w:b w:val="false"/>
          <w:color w:val="000000"/>
          <w:sz w:val="22"/>
        </w:rPr>
        <w:t>.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pStyle w:val="TextBody"/>
        <w:bidi w:val="0"/>
        <w:spacing w:lineRule="auto" w:line="288" w:before="120" w:after="120"/>
        <w:ind w:left="0" w:right="0" w:hanging="562"/>
        <w:jc w:val="both"/>
        <w:rPr/>
      </w:pPr>
      <w:r>
        <w:rPr>
          <w:rFonts w:ascii="Times New Roman;serif" w:hAnsi="Times New Roman;serif"/>
          <w:b w:val="false"/>
          <w:color w:val="231F20"/>
          <w:sz w:val="22"/>
        </w:rPr>
        <w:t>(g)</w:t>
      </w:r>
      <w:r>
        <w:rPr>
          <w:rFonts w:ascii="Times New Roman;serif" w:hAnsi="Times New Roman;serif"/>
          <w:b w:val="false"/>
          <w:color w:val="000000"/>
          <w:sz w:val="22"/>
          <w:u w:val="single"/>
        </w:rPr>
        <w:t xml:space="preserve">Choice of Law; Choice of Forum. </w:t>
      </w:r>
      <w:r>
        <w:rPr>
          <w:rFonts w:ascii="Times New Roman;serif" w:hAnsi="Times New Roman;serif"/>
          <w:b w:val="false"/>
          <w:color w:val="000000"/>
          <w:sz w:val="22"/>
        </w:rPr>
        <w:t xml:space="preserve">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pStyle w:val="TextBody"/>
        <w:bidi w:val="0"/>
        <w:spacing w:lineRule="auto" w:line="288" w:before="120" w:after="120"/>
        <w:ind w:left="0" w:right="0" w:hanging="562"/>
        <w:jc w:val="left"/>
        <w:rPr/>
      </w:pPr>
      <w:r>
        <w:rPr>
          <w:rFonts w:ascii="Times New Roman;serif" w:hAnsi="Times New Roman;serif"/>
          <w:b w:val="false"/>
          <w:color w:val="231F20"/>
          <w:sz w:val="22"/>
        </w:rPr>
        <w:t>(h)</w:t>
      </w:r>
      <w:r>
        <w:rPr>
          <w:rFonts w:ascii="Times New Roman;serif" w:hAnsi="Times New Roman;serif"/>
          <w:b w:val="false"/>
          <w:color w:val="000000"/>
          <w:sz w:val="22"/>
          <w:u w:val="single"/>
        </w:rPr>
        <w:t xml:space="preserve">Effect of Administrator’s Decision. </w:t>
      </w:r>
      <w:r>
        <w:rPr>
          <w:rFonts w:ascii="Times New Roman;serif" w:hAnsi="Times New Roman;serif"/>
          <w:b w:val="false"/>
          <w:color w:val="000000"/>
          <w:sz w:val="22"/>
        </w:rPr>
        <w:t>The Administrator’s decisions, determinations and interpretations will be final and binding on all Participants and any other holders of Awards and will be given the maximum deference permitted by Applicable Laws.</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u w:val="single"/>
        </w:rPr>
        <w:t xml:space="preserve">Exchange Program. </w:t>
      </w:r>
      <w:r>
        <w:rPr>
          <w:rFonts w:ascii="Times New Roman;serif" w:hAnsi="Times New Roman;serif"/>
          <w:b w:val="false"/>
          <w:color w:val="000000"/>
          <w:sz w:val="22"/>
        </w:rPr>
        <w:t>The Administrator may not institute an Exchange Program.</w:t>
      </w:r>
    </w:p>
    <w:p>
      <w:pPr>
        <w:pStyle w:val="TextBody"/>
        <w:bidi w:val="0"/>
        <w:spacing w:lineRule="auto" w:line="288" w:before="120" w:after="120"/>
        <w:ind w:left="0" w:right="0" w:hanging="360"/>
        <w:jc w:val="left"/>
        <w:rPr/>
      </w:pPr>
      <w:r>
        <w:rPr>
          <w:rFonts w:ascii="Times New Roman;serif" w:hAnsi="Times New Roman;serif"/>
          <w:b w:val="false"/>
          <w:color w:val="231F20"/>
          <w:sz w:val="22"/>
        </w:rPr>
        <w:t>5.</w:t>
      </w:r>
      <w:r>
        <w:rPr>
          <w:rFonts w:ascii="Times New Roman;serif" w:hAnsi="Times New Roman;serif"/>
          <w:b w:val="false"/>
          <w:color w:val="000000"/>
          <w:sz w:val="22"/>
          <w:u w:val="single"/>
        </w:rPr>
        <w:t>Eligibility</w:t>
      </w:r>
      <w:r>
        <w:rPr>
          <w:rFonts w:ascii="Times New Roman;serif" w:hAnsi="Times New Roman;serif"/>
          <w:b w:val="false"/>
          <w:color w:val="000000"/>
          <w:sz w:val="22"/>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spacing w:lineRule="auto" w:line="288" w:before="120" w:after="120"/>
        <w:ind w:left="0" w:right="0" w:hanging="360"/>
        <w:jc w:val="left"/>
        <w:rPr/>
      </w:pPr>
      <w:r>
        <w:rPr>
          <w:rFonts w:ascii="Times New Roman;serif" w:hAnsi="Times New Roman;serif"/>
          <w:b w:val="false"/>
          <w:color w:val="231F20"/>
          <w:sz w:val="22"/>
        </w:rPr>
        <w:t>6.</w:t>
      </w:r>
      <w:r>
        <w:rPr>
          <w:rFonts w:ascii="Times New Roman;serif" w:hAnsi="Times New Roman;serif"/>
          <w:b w:val="false"/>
          <w:color w:val="000000"/>
          <w:sz w:val="22"/>
          <w:u w:val="single"/>
        </w:rPr>
        <w:t>Stock Options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 xml:space="preserve">Grant of Options. </w:t>
      </w:r>
      <w:r>
        <w:rPr>
          <w:rFonts w:ascii="Times New Roman;serif" w:hAnsi="Times New Roman;serif"/>
          <w:b w:val="false"/>
          <w:color w:val="000000"/>
          <w:sz w:val="22"/>
        </w:rPr>
        <w:t>Subject to the terms and provisions of the Plan, the Administrator, at any time and from time to time, may grant Options to Service Providers in such amounts as the Administrator determines in its sole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Stock Option Agreement</w:t>
      </w:r>
      <w:r>
        <w:rPr>
          <w:rFonts w:ascii="Times New Roman;serif" w:hAnsi="Times New Roman;serif"/>
          <w:b w:val="false"/>
          <w:color w:val="000000"/>
          <w:sz w:val="22"/>
        </w:rPr>
        <w:t>.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Limitations</w:t>
      </w:r>
      <w:r>
        <w:rPr>
          <w:rFonts w:ascii="Times New Roman;serif" w:hAnsi="Times New Roman;serif"/>
          <w:b w:val="false"/>
          <w:color w:val="000000"/>
          <w:sz w:val="22"/>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Term of Option</w:t>
      </w:r>
      <w:r>
        <w:rPr>
          <w:rFonts w:ascii="Times New Roman;serif" w:hAnsi="Times New Roman;serif"/>
          <w:b w:val="false"/>
          <w:color w:val="000000"/>
          <w:sz w:val="22"/>
        </w:rPr>
        <w:t>. The term of each Option will be stated in the Award Agreement. In the case of an Incentive Stock Option, the term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Grant Date or such shorter term as may be provided in the Award Agreement.</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Option Exercise Price and Consideration</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u w:val="single"/>
        </w:rPr>
        <w:t xml:space="preserve">Exercise Price. </w:t>
      </w:r>
      <w:r>
        <w:rPr>
          <w:rFonts w:ascii="Times New Roman;serif" w:hAnsi="Times New Roman;serif"/>
          <w:b w:val="false"/>
          <w:color w:val="000000"/>
          <w:sz w:val="22"/>
        </w:rPr>
        <w:t>The per share exercise price for the Shares to be issued pursuant to exercise of an Option will be determined by the Administrator, subject to the following:</w:t>
      </w:r>
    </w:p>
    <w:p>
      <w:pPr>
        <w:pStyle w:val="TextBody"/>
        <w:bidi w:val="0"/>
        <w:spacing w:lineRule="auto" w:line="288" w:before="120" w:after="120"/>
        <w:ind w:left="0" w:right="0" w:hanging="566"/>
        <w:jc w:val="left"/>
        <w:rPr/>
      </w:pPr>
      <w:r>
        <w:rPr>
          <w:rFonts w:ascii="Times New Roman;serif" w:hAnsi="Times New Roman;serif"/>
          <w:b w:val="false"/>
          <w:color w:val="231F20"/>
          <w:sz w:val="22"/>
        </w:rPr>
        <w:t>(1)</w:t>
      </w:r>
      <w:r>
        <w:rPr>
          <w:rFonts w:ascii="Times New Roman;serif" w:hAnsi="Times New Roman;serif"/>
          <w:b w:val="false"/>
          <w:color w:val="000000"/>
          <w:sz w:val="22"/>
        </w:rPr>
        <w:t>In the case of an Incentive Stock Option</w:t>
      </w:r>
    </w:p>
    <w:p>
      <w:pPr>
        <w:pStyle w:val="TextBody"/>
        <w:bidi w:val="0"/>
        <w:spacing w:lineRule="auto" w:line="288" w:before="0" w:after="120"/>
        <w:ind w:left="0" w:right="0" w:hanging="561"/>
        <w:jc w:val="left"/>
        <w:rPr/>
      </w:pPr>
      <w:r>
        <w:rPr>
          <w:rFonts w:ascii="Times New Roman;serif" w:hAnsi="Times New Roman;serif"/>
          <w:b w:val="false"/>
          <w:color w:val="231F20"/>
          <w:sz w:val="22"/>
        </w:rPr>
        <w:t>(A)</w:t>
      </w:r>
      <w:r>
        <w:rPr>
          <w:rFonts w:ascii="Times New Roman;serif" w:hAnsi="Times New Roman;serif"/>
          <w:b w:val="false"/>
          <w:color w:val="000000"/>
          <w:sz w:val="22"/>
        </w:rPr>
        <w:t>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pStyle w:val="TextBody"/>
        <w:bidi w:val="0"/>
        <w:spacing w:lineRule="auto" w:line="288" w:before="120" w:after="120"/>
        <w:ind w:left="0" w:right="0" w:hanging="566"/>
        <w:jc w:val="left"/>
        <w:rPr/>
      </w:pPr>
      <w:r>
        <w:rPr>
          <w:rFonts w:ascii="Times New Roman;serif" w:hAnsi="Times New Roman;serif"/>
          <w:b w:val="false"/>
          <w:color w:val="231F20"/>
          <w:sz w:val="22"/>
        </w:rPr>
        <w:t>(B)</w:t>
      </w:r>
      <w:r>
        <w:rPr>
          <w:rFonts w:ascii="Times New Roman;serif" w:hAnsi="Times New Roman;serif"/>
          <w:b w:val="false"/>
          <w:color w:val="000000"/>
          <w:sz w:val="22"/>
        </w:rPr>
        <w:t>granted to any Employee other than an Employee described in paragraph (A) immediately above, the per Share exercise price will be no less than 100% of the Fair Market Value per Share on the Grant Date.</w:t>
      </w:r>
    </w:p>
    <w:p>
      <w:pPr>
        <w:pStyle w:val="TextBody"/>
        <w:bidi w:val="0"/>
        <w:spacing w:lineRule="auto" w:line="288" w:before="120" w:after="120"/>
        <w:ind w:left="0" w:right="0" w:hanging="566"/>
        <w:jc w:val="both"/>
        <w:rPr/>
      </w:pPr>
      <w:r>
        <w:rPr>
          <w:rFonts w:ascii="Times New Roman;serif" w:hAnsi="Times New Roman;serif"/>
          <w:b w:val="false"/>
          <w:color w:val="231F20"/>
          <w:sz w:val="22"/>
        </w:rPr>
        <w:t>(2)</w:t>
      </w:r>
      <w:r>
        <w:rPr>
          <w:rFonts w:ascii="Times New Roman;serif" w:hAnsi="Times New Roman;serif"/>
          <w:b w:val="false"/>
          <w:color w:val="000000"/>
          <w:sz w:val="22"/>
        </w:rPr>
        <w:t>In the case of a Nonstatutory Stock Option, the per Share exercise price will be determined by the Administrator and may no less than 100% of the Fair Market Value per Share on the Grant Date unless otherwise required by Applicable Laws.</w:t>
      </w:r>
    </w:p>
    <w:p>
      <w:pPr>
        <w:pStyle w:val="TextBody"/>
        <w:bidi w:val="0"/>
        <w:spacing w:lineRule="auto" w:line="288" w:before="120" w:after="120"/>
        <w:ind w:left="0" w:right="0" w:hanging="566"/>
        <w:jc w:val="left"/>
        <w:rPr/>
      </w:pPr>
      <w:r>
        <w:rPr>
          <w:rFonts w:ascii="Times New Roman;serif" w:hAnsi="Times New Roman;serif"/>
          <w:b w:val="false"/>
          <w:color w:val="231F20"/>
          <w:sz w:val="22"/>
        </w:rPr>
        <w:t>(3)</w:t>
      </w:r>
      <w:r>
        <w:rPr>
          <w:rFonts w:ascii="Times New Roman;serif" w:hAnsi="Times New Roman;serif"/>
          <w:b w:val="false"/>
          <w:color w:val="000000"/>
          <w:sz w:val="22"/>
        </w:rPr>
        <w:t>Notwithstanding the foregoing, Options may be granted with a per Share exercise price of less than 100% of the Fair Market Value per Share on the Grant Date pursuant to a transaction described in, and in a manner consistent with, Section 424(a) of the Code.</w:t>
      </w:r>
    </w:p>
    <w:p>
      <w:pPr>
        <w:pStyle w:val="TextBody"/>
        <w:bidi w:val="0"/>
        <w:spacing w:lineRule="auto" w:line="288" w:before="120" w:after="120"/>
        <w:ind w:left="0" w:right="0" w:hanging="562"/>
        <w:jc w:val="left"/>
        <w:rPr/>
      </w:pPr>
      <w:r>
        <w:rPr>
          <w:rFonts w:ascii="Times New Roman;serif" w:hAnsi="Times New Roman;serif"/>
          <w:b w:val="false"/>
          <w:color w:val="231F20"/>
          <w:sz w:val="22"/>
        </w:rPr>
        <w:t>(ii)</w:t>
      </w:r>
      <w:r>
        <w:rPr>
          <w:rFonts w:ascii="Times New Roman;serif" w:hAnsi="Times New Roman;serif"/>
          <w:b w:val="false"/>
          <w:color w:val="000000"/>
          <w:sz w:val="22"/>
          <w:u w:val="single"/>
        </w:rPr>
        <w:t>Waiting Period and Exercise Dates</w:t>
      </w:r>
      <w:r>
        <w:rPr>
          <w:rFonts w:ascii="Times New Roman;serif" w:hAnsi="Times New Roman;serif"/>
          <w:b w:val="false"/>
          <w:color w:val="000000"/>
          <w:sz w:val="22"/>
        </w:rPr>
        <w:t>. At the time an Option is granted, the Administrator will fix the period within which the Option may be exercised and will determine any conditions that must be satisfied before the Option may be exercised.</w:t>
      </w:r>
    </w:p>
    <w:p>
      <w:pPr>
        <w:pStyle w:val="TextBody"/>
        <w:bidi w:val="0"/>
        <w:spacing w:lineRule="auto" w:line="288" w:before="120" w:after="120"/>
        <w:ind w:left="0" w:right="0" w:hanging="562"/>
        <w:jc w:val="left"/>
        <w:rPr/>
      </w:pPr>
      <w:r>
        <w:rPr>
          <w:rFonts w:ascii="Times New Roman;serif" w:hAnsi="Times New Roman;serif"/>
          <w:b w:val="false"/>
          <w:color w:val="231F20"/>
          <w:sz w:val="22"/>
        </w:rPr>
        <w:t>(iii)</w:t>
      </w:r>
      <w:r>
        <w:rPr>
          <w:rFonts w:ascii="Times New Roman;serif" w:hAnsi="Times New Roman;serif"/>
          <w:b w:val="false"/>
          <w:color w:val="000000"/>
          <w:sz w:val="22"/>
          <w:u w:val="single"/>
        </w:rPr>
        <w:t>Form of Consideration</w:t>
      </w:r>
      <w:r>
        <w:rPr>
          <w:rFonts w:ascii="Times New Roman;serif" w:hAnsi="Times New Roman;serif"/>
          <w:b w:val="false"/>
          <w:color w:val="000000"/>
          <w:sz w:val="22"/>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pStyle w:val="TextBody"/>
        <w:bidi w:val="0"/>
        <w:spacing w:lineRule="auto" w:line="288" w:before="12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Exercise of Option</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u w:val="single"/>
        </w:rPr>
        <w:t>Procedure for Exercise; Rights as a Stockholder</w:t>
      </w:r>
      <w:r>
        <w:rPr>
          <w:rFonts w:ascii="Times New Roman;serif" w:hAnsi="Times New Roman;serif"/>
          <w:b w:val="false"/>
          <w:color w:val="000000"/>
          <w:sz w:val="22"/>
        </w:rPr>
        <w:t>.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Exercising an Option in any manner will decrease the number of Shares thereafter available, both for purposes of the Plan and for sale under the Option, by the number of Shares as to which the Option is exercised.</w:t>
      </w:r>
    </w:p>
    <w:p>
      <w:pPr>
        <w:pStyle w:val="TextBody"/>
        <w:bidi w:val="0"/>
        <w:spacing w:lineRule="auto" w:line="288" w:before="120" w:after="120"/>
        <w:ind w:left="0" w:right="0" w:hanging="562"/>
        <w:jc w:val="left"/>
        <w:rPr/>
      </w:pPr>
      <w:r>
        <w:rPr>
          <w:rFonts w:ascii="Times New Roman;serif" w:hAnsi="Times New Roman;serif"/>
          <w:b w:val="false"/>
          <w:color w:val="231F20"/>
          <w:sz w:val="22"/>
        </w:rPr>
        <w:t>(ii)</w:t>
      </w:r>
      <w:r>
        <w:rPr>
          <w:rFonts w:ascii="Times New Roman;serif" w:hAnsi="Times New Roman;serif"/>
          <w:b w:val="false"/>
          <w:color w:val="000000"/>
          <w:sz w:val="22"/>
          <w:u w:val="single"/>
        </w:rPr>
        <w:t>Termination of Relationship as a Service Provider</w:t>
      </w:r>
      <w:r>
        <w:rPr>
          <w:rFonts w:ascii="Times New Roman;serif" w:hAnsi="Times New Roman;serif"/>
          <w:b w:val="false"/>
          <w:color w:val="000000"/>
          <w:sz w:val="22"/>
        </w:rPr>
        <w:t>.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(iii)</w:t>
      </w:r>
      <w:r>
        <w:rPr>
          <w:rFonts w:ascii="Times New Roman;serif" w:hAnsi="Times New Roman;serif"/>
          <w:b w:val="false"/>
          <w:color w:val="000000"/>
          <w:sz w:val="22"/>
          <w:u w:val="single"/>
        </w:rPr>
        <w:t>Disability of Participant</w:t>
      </w:r>
      <w:r>
        <w:rPr>
          <w:rFonts w:ascii="Times New Roman;serif" w:hAnsi="Times New Roman;serif"/>
          <w:b w:val="false"/>
          <w:color w:val="000000"/>
          <w:sz w:val="22"/>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(iv)</w:t>
      </w:r>
      <w:r>
        <w:rPr>
          <w:rFonts w:ascii="Times New Roman;serif" w:hAnsi="Times New Roman;serif"/>
          <w:b w:val="false"/>
          <w:color w:val="000000"/>
          <w:sz w:val="22"/>
          <w:u w:val="single"/>
        </w:rPr>
        <w:t>Death of Participant</w:t>
      </w:r>
      <w:r>
        <w:rPr>
          <w:rFonts w:ascii="Times New Roman;serif" w:hAnsi="Times New Roman;serif"/>
          <w:b w:val="false"/>
          <w:color w:val="000000"/>
          <w:sz w:val="22"/>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(v)</w:t>
      </w:r>
      <w:r>
        <w:rPr>
          <w:rFonts w:ascii="Times New Roman;serif" w:hAnsi="Times New Roman;serif"/>
          <w:b w:val="false"/>
          <w:color w:val="000000"/>
          <w:sz w:val="22"/>
          <w:u w:val="single"/>
        </w:rPr>
        <w:t>Tolling Expiration</w:t>
      </w:r>
      <w:r>
        <w:rPr>
          <w:rFonts w:ascii="Times New Roman;serif" w:hAnsi="Times New Roman;serif"/>
          <w:b w:val="false"/>
          <w:color w:val="000000"/>
          <w:sz w:val="22"/>
        </w:rPr>
        <w:t>. A Participant’s Award Agreement may also provide that:</w:t>
      </w:r>
    </w:p>
    <w:p>
      <w:pPr>
        <w:pStyle w:val="TextBody"/>
        <w:bidi w:val="0"/>
        <w:spacing w:lineRule="auto" w:line="288" w:before="120" w:after="120"/>
        <w:ind w:left="0" w:right="0" w:hanging="561"/>
        <w:jc w:val="left"/>
        <w:rPr/>
      </w:pPr>
      <w:r>
        <w:rPr>
          <w:rFonts w:ascii="Times New Roman;serif" w:hAnsi="Times New Roman;serif"/>
          <w:b w:val="false"/>
          <w:color w:val="231F20"/>
          <w:sz w:val="22"/>
        </w:rPr>
        <w:t>(1)</w:t>
      </w:r>
      <w:r>
        <w:rPr>
          <w:rFonts w:ascii="Times New Roman;serif" w:hAnsi="Times New Roman;serif"/>
          <w:b w:val="false"/>
          <w:color w:val="000000"/>
          <w:sz w:val="22"/>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10th day after the last date on which such exercise would result in liability under Section 16(b); or</w:t>
      </w:r>
    </w:p>
    <w:p>
      <w:pPr>
        <w:pStyle w:val="TextBody"/>
        <w:bidi w:val="0"/>
        <w:spacing w:lineRule="auto" w:line="288" w:before="120" w:after="120"/>
        <w:ind w:left="0" w:right="0" w:hanging="561"/>
        <w:jc w:val="left"/>
        <w:rPr/>
      </w:pPr>
      <w:r>
        <w:rPr>
          <w:rFonts w:ascii="Times New Roman;serif" w:hAnsi="Times New Roman;serif"/>
          <w:b w:val="false"/>
          <w:color w:val="231F20"/>
          <w:sz w:val="22"/>
        </w:rPr>
        <w:t>(2)</w:t>
      </w:r>
      <w:r>
        <w:rPr>
          <w:rFonts w:ascii="Times New Roman;serif" w:hAnsi="Times New Roman;serif"/>
          <w:b w:val="false"/>
          <w:color w:val="000000"/>
          <w:sz w:val="22"/>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pStyle w:val="TextBody"/>
        <w:bidi w:val="0"/>
        <w:spacing w:lineRule="auto" w:line="288" w:before="0" w:after="120"/>
        <w:ind w:left="0" w:right="0" w:hanging="360"/>
        <w:jc w:val="left"/>
        <w:rPr/>
      </w:pPr>
      <w:r>
        <w:rPr>
          <w:rFonts w:ascii="Times New Roman;serif" w:hAnsi="Times New Roman;serif"/>
          <w:b w:val="false"/>
          <w:color w:val="231F20"/>
          <w:sz w:val="22"/>
        </w:rPr>
        <w:t>7.</w:t>
      </w:r>
      <w:r>
        <w:rPr>
          <w:rFonts w:ascii="Times New Roman;serif" w:hAnsi="Times New Roman;serif"/>
          <w:b w:val="false"/>
          <w:color w:val="000000"/>
          <w:sz w:val="22"/>
          <w:u w:val="single"/>
        </w:rPr>
        <w:t>Restricted Stock</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Grant of Restricted Stock</w:t>
      </w:r>
      <w:r>
        <w:rPr>
          <w:rFonts w:ascii="Times New Roman;serif" w:hAnsi="Times New Roman;serif"/>
          <w:b w:val="false"/>
          <w:color w:val="000000"/>
          <w:sz w:val="22"/>
        </w:rPr>
        <w:t>. Subject to the terms and provisions of the Plan, the Administrator, at any time and from time to time, may grant Shares of Restricted Stock to Service Providers in such amounts as the Administrator determines in its sole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Restricted Stock Agreement</w:t>
      </w:r>
      <w:r>
        <w:rPr>
          <w:rFonts w:ascii="Times New Roman;serif" w:hAnsi="Times New Roman;serif"/>
          <w:b w:val="false"/>
          <w:color w:val="000000"/>
          <w:sz w:val="22"/>
        </w:rPr>
        <w:t xml:space="preserve">. Each Award of Restricted Stock will be evidenced by an Award Agreement that will specify any Period of Restriction, the number of Shares granted, and such other terms and conditions as the Administrator determines in its sole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discretion. Unless the Administrator determines otherwise, the Company as escrow agent will hold Shares of Restricted Stock until the restrictions on such Shares have lapsed.</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Transferability</w:t>
      </w:r>
      <w:r>
        <w:rPr>
          <w:rFonts w:ascii="Times New Roman;serif" w:hAnsi="Times New Roman;serif"/>
          <w:b w:val="false"/>
          <w:color w:val="000000"/>
          <w:sz w:val="22"/>
        </w:rPr>
        <w:t>. Except as provided in this Section 7 of the Award Agreement, Shares of Restricted Stock may not be sold, transferred, pledged, assigned, or otherwise alienated or hypothecated until the end of any applicable Period of Restriction.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Other Restrictions</w:t>
      </w:r>
      <w:r>
        <w:rPr>
          <w:rFonts w:ascii="Times New Roman;serif" w:hAnsi="Times New Roman;serif"/>
          <w:b w:val="false"/>
          <w:color w:val="000000"/>
          <w:sz w:val="22"/>
        </w:rPr>
        <w:t>. The Administrator, in its sole discretion, may impose such other restrictions on Shares of Restricted Stock as it may deem advisable or appropriate.</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Removal of Restrictions</w:t>
      </w:r>
      <w:r>
        <w:rPr>
          <w:rFonts w:ascii="Times New Roman;serif" w:hAnsi="Times New Roman;serif"/>
          <w:b w:val="false"/>
          <w:color w:val="000000"/>
          <w:sz w:val="22"/>
        </w:rPr>
        <w:t>.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pStyle w:val="TextBody"/>
        <w:bidi w:val="0"/>
        <w:spacing w:lineRule="auto" w:line="288" w:before="12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Voting Rights</w:t>
      </w:r>
      <w:r>
        <w:rPr>
          <w:rFonts w:ascii="Times New Roman;serif" w:hAnsi="Times New Roman;serif"/>
          <w:b w:val="false"/>
          <w:color w:val="000000"/>
          <w:sz w:val="22"/>
        </w:rPr>
        <w:t>. During any applicable Period of Restriction, Service Providers holding Shares of Restricted Stock granted hereunder may exercise full voting rights with respect to those Shares, unless the Administrator determines otherwise.</w:t>
      </w:r>
    </w:p>
    <w:p>
      <w:pPr>
        <w:pStyle w:val="TextBody"/>
        <w:bidi w:val="0"/>
        <w:spacing w:lineRule="auto" w:line="288" w:before="120" w:after="120"/>
        <w:ind w:left="0" w:right="0" w:hanging="562"/>
        <w:jc w:val="left"/>
        <w:rPr/>
      </w:pPr>
      <w:r>
        <w:rPr>
          <w:rFonts w:ascii="Times New Roman;serif" w:hAnsi="Times New Roman;serif"/>
          <w:b w:val="false"/>
          <w:color w:val="231F20"/>
          <w:sz w:val="22"/>
        </w:rPr>
        <w:t>(g)</w:t>
      </w:r>
      <w:r>
        <w:rPr>
          <w:rFonts w:ascii="Times New Roman;serif" w:hAnsi="Times New Roman;serif"/>
          <w:b w:val="false"/>
          <w:color w:val="000000"/>
          <w:sz w:val="22"/>
          <w:u w:val="single"/>
        </w:rPr>
        <w:t>Return of Restricted Stock to Company</w:t>
      </w:r>
      <w:r>
        <w:rPr>
          <w:rFonts w:ascii="Times New Roman;serif" w:hAnsi="Times New Roman;serif"/>
          <w:b w:val="false"/>
          <w:color w:val="000000"/>
          <w:sz w:val="22"/>
        </w:rPr>
        <w:t>. On the date set forth in the Award Agreement, the Restricted Stock for which restrictions have not lapsed will revert to the Company and again will become available for grant under the Plan.</w:t>
      </w:r>
    </w:p>
    <w:p>
      <w:pPr>
        <w:pStyle w:val="TextBody"/>
        <w:bidi w:val="0"/>
        <w:spacing w:lineRule="auto" w:line="288" w:before="120" w:after="120"/>
        <w:ind w:left="0" w:right="0" w:hanging="360"/>
        <w:jc w:val="left"/>
        <w:rPr/>
      </w:pPr>
      <w:r>
        <w:rPr>
          <w:rFonts w:ascii="Times New Roman;serif" w:hAnsi="Times New Roman;serif"/>
          <w:b w:val="false"/>
          <w:color w:val="231F20"/>
          <w:sz w:val="22"/>
        </w:rPr>
        <w:t>8.</w:t>
      </w:r>
      <w:r>
        <w:rPr>
          <w:rFonts w:ascii="Times New Roman;serif" w:hAnsi="Times New Roman;serif"/>
          <w:b w:val="false"/>
          <w:color w:val="000000"/>
          <w:sz w:val="22"/>
          <w:u w:val="single"/>
        </w:rPr>
        <w:t>Restricted Stock Units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Grant</w:t>
      </w:r>
      <w:r>
        <w:rPr>
          <w:rFonts w:ascii="Times New Roman;serif" w:hAnsi="Times New Roman;serif"/>
          <w:b w:val="false"/>
          <w:color w:val="000000"/>
          <w:sz w:val="22"/>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Restricted Stock Unit Agreement</w:t>
      </w:r>
      <w:r>
        <w:rPr>
          <w:rFonts w:ascii="Times New Roman;serif" w:hAnsi="Times New Roman;serif"/>
          <w:b w:val="false"/>
          <w:color w:val="000000"/>
          <w:sz w:val="22"/>
        </w:rPr>
        <w:t>. Each Award of Restricted Stock Units will be evidenced by an Award Agreement that will specify vesting criteria, the number of Restricted Stock Units granted, and such other terms and conditions as the Administrator determines in its sole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Vesting Criteria and Other Terms</w:t>
      </w:r>
      <w:r>
        <w:rPr>
          <w:rFonts w:ascii="Times New Roman;serif" w:hAnsi="Times New Roman;serif"/>
          <w:b w:val="false"/>
          <w:color w:val="000000"/>
          <w:sz w:val="22"/>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Earning Restricted Stock Units</w:t>
      </w:r>
      <w:r>
        <w:rPr>
          <w:rFonts w:ascii="Times New Roman;serif" w:hAnsi="Times New Roman;serif"/>
          <w:b w:val="false"/>
          <w:color w:val="000000"/>
          <w:sz w:val="22"/>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Form and Timing of Payment</w:t>
      </w:r>
      <w:r>
        <w:rPr>
          <w:rFonts w:ascii="Times New Roman;serif" w:hAnsi="Times New Roman;serif"/>
          <w:b w:val="false"/>
          <w:color w:val="000000"/>
          <w:sz w:val="22"/>
        </w:rPr>
        <w:t xml:space="preserve">. Payment of earned Restricted Stock Units will be made as soon as practicable after the date(s) determined by the Administrator and set forth in the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Award Agreement. The Administrator, in its sole discretion, may settle earned Restricted Stock Units only in cash, Shares, or a combination of both.</w:t>
      </w:r>
    </w:p>
    <w:p>
      <w:pPr>
        <w:pStyle w:val="TextBody"/>
        <w:bidi w:val="0"/>
        <w:spacing w:lineRule="auto" w:line="288" w:before="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Cancellation</w:t>
      </w:r>
      <w:r>
        <w:rPr>
          <w:rFonts w:ascii="Times New Roman;serif" w:hAnsi="Times New Roman;serif"/>
          <w:b w:val="false"/>
          <w:color w:val="000000"/>
          <w:sz w:val="22"/>
        </w:rPr>
        <w:t>. On the date set forth in the Award Agreement, all unearned Restricted Stock Units will be forfeited to the Company.</w:t>
      </w:r>
    </w:p>
    <w:p>
      <w:pPr>
        <w:pStyle w:val="TextBody"/>
        <w:bidi w:val="0"/>
        <w:spacing w:lineRule="auto" w:line="288" w:before="120" w:after="120"/>
        <w:ind w:left="0" w:right="0" w:hanging="360"/>
        <w:jc w:val="left"/>
        <w:rPr/>
      </w:pPr>
      <w:r>
        <w:rPr>
          <w:rFonts w:ascii="Times New Roman;serif" w:hAnsi="Times New Roman;serif"/>
          <w:b w:val="false"/>
          <w:color w:val="231F20"/>
          <w:sz w:val="22"/>
        </w:rPr>
        <w:t>9.</w:t>
      </w:r>
      <w:r>
        <w:rPr>
          <w:rFonts w:ascii="Times New Roman;serif" w:hAnsi="Times New Roman;serif"/>
          <w:b w:val="false"/>
          <w:color w:val="000000"/>
          <w:sz w:val="22"/>
          <w:u w:val="single"/>
        </w:rPr>
        <w:t>Stock Appreciation Rights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Grant of Stock Appreciation Rights</w:t>
      </w:r>
      <w:r>
        <w:rPr>
          <w:rFonts w:ascii="Times New Roman;serif" w:hAnsi="Times New Roman;serif"/>
          <w:b w:val="false"/>
          <w:color w:val="000000"/>
          <w:sz w:val="22"/>
        </w:rPr>
        <w:t>. Subject to the terms and conditions of the Plan, a Stock Appreciation Right may be granted to Service Providers at any time and from time to time as will be determined by the Administrator, in its sole discretion.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Stock Appreciation Right Agreement</w:t>
      </w:r>
      <w:r>
        <w:rPr>
          <w:rFonts w:ascii="Times New Roman;serif" w:hAnsi="Times New Roman;serif"/>
          <w:b w:val="false"/>
          <w:color w:val="000000"/>
          <w:sz w:val="22"/>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Number of Shares</w:t>
      </w:r>
      <w:r>
        <w:rPr>
          <w:rFonts w:ascii="Times New Roman;serif" w:hAnsi="Times New Roman;serif"/>
          <w:b w:val="false"/>
          <w:color w:val="000000"/>
          <w:sz w:val="22"/>
        </w:rPr>
        <w:t>. The Administrator will have complete discretion to determine the number of Stock Appreciation Rights granted to any Service Provider.</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Exercise Price and Other Terms</w:t>
      </w:r>
      <w:r>
        <w:rPr>
          <w:rFonts w:ascii="Times New Roman;serif" w:hAnsi="Times New Roman;serif"/>
          <w:b w:val="false"/>
          <w:color w:val="000000"/>
          <w:sz w:val="22"/>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Expiration of Stock Appreciation Rights</w:t>
      </w:r>
      <w:r>
        <w:rPr>
          <w:rFonts w:ascii="Times New Roman;serif" w:hAnsi="Times New Roman;serif"/>
          <w:b w:val="false"/>
          <w:color w:val="000000"/>
          <w:sz w:val="22"/>
        </w:rPr>
        <w:t>.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w:t>
      </w:r>
    </w:p>
    <w:p>
      <w:pPr>
        <w:pStyle w:val="TextBody"/>
        <w:bidi w:val="0"/>
        <w:spacing w:lineRule="auto" w:line="288" w:before="12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Payment of Stock Appreciation Right Amount</w:t>
      </w:r>
      <w:r>
        <w:rPr>
          <w:rFonts w:ascii="Times New Roman;serif" w:hAnsi="Times New Roman;serif"/>
          <w:b w:val="false"/>
          <w:color w:val="000000"/>
          <w:sz w:val="22"/>
        </w:rPr>
        <w:t>. Upon exercise of a Stock Appreciation Right, a Participant will be entitled to receive payment from the Company in an amount determined as the product of:</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rPr>
        <w:t>The difference between the Fair Market Value of a Share on the date of exercise over the exercise price; and</w:t>
      </w:r>
    </w:p>
    <w:p>
      <w:pPr>
        <w:pStyle w:val="TextBody"/>
        <w:bidi w:val="0"/>
        <w:spacing w:lineRule="auto" w:line="288" w:before="120" w:after="120"/>
        <w:ind w:left="0" w:right="0" w:hanging="562"/>
        <w:jc w:val="left"/>
        <w:rPr/>
      </w:pPr>
      <w:r>
        <w:rPr>
          <w:rFonts w:ascii="Times New Roman;serif" w:hAnsi="Times New Roman;serif"/>
          <w:b w:val="false"/>
          <w:color w:val="231F20"/>
          <w:sz w:val="22"/>
        </w:rPr>
        <w:t>(ii)</w:t>
      </w:r>
      <w:r>
        <w:rPr>
          <w:rFonts w:ascii="Times New Roman;serif" w:hAnsi="Times New Roman;serif"/>
          <w:b w:val="false"/>
          <w:color w:val="000000"/>
          <w:sz w:val="22"/>
        </w:rPr>
        <w:t>The number of Shares with respect to which the Stock Appreciation Right is exercised.</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At the discretion of the Administrator, the payment upon exercise of a Stock Appreciation Right may be in cash, in Shares of equivalent value, or in some combination of both.</w:t>
      </w:r>
    </w:p>
    <w:p>
      <w:pPr>
        <w:pStyle w:val="TextBody"/>
        <w:bidi w:val="0"/>
        <w:spacing w:lineRule="auto" w:line="288" w:before="120" w:after="120"/>
        <w:ind w:left="0" w:right="0" w:hanging="360"/>
        <w:jc w:val="left"/>
        <w:rPr/>
      </w:pPr>
      <w:r>
        <w:rPr>
          <w:rFonts w:ascii="Times New Roman;serif" w:hAnsi="Times New Roman;serif"/>
          <w:b w:val="false"/>
          <w:color w:val="231F20"/>
          <w:sz w:val="22"/>
        </w:rPr>
        <w:t>10.</w:t>
      </w:r>
      <w:r>
        <w:rPr>
          <w:rFonts w:ascii="Times New Roman;serif" w:hAnsi="Times New Roman;serif"/>
          <w:b w:val="false"/>
          <w:color w:val="000000"/>
          <w:sz w:val="22"/>
          <w:u w:val="single"/>
        </w:rPr>
        <w:t>Performance Units and Performance Shares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Grant of Performance Units/Shares</w:t>
      </w:r>
      <w:r>
        <w:rPr>
          <w:rFonts w:ascii="Times New Roman;serif" w:hAnsi="Times New Roman;serif"/>
          <w:b w:val="false"/>
          <w:color w:val="000000"/>
          <w:sz w:val="22"/>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Value of Performance Units/Shares</w:t>
      </w:r>
      <w:r>
        <w:rPr>
          <w:rFonts w:ascii="Times New Roman;serif" w:hAnsi="Times New Roman;serif"/>
          <w:b w:val="false"/>
          <w:color w:val="000000"/>
          <w:sz w:val="22"/>
        </w:rPr>
        <w:t>. Each Performance Unit will have an initial value that is established by the Administrator on or before the Grant Date. Each Performance Share will have an initial value equal to the Fair Market Value of a Share on the Grant Date.</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Performance Objectives and Other Terms</w:t>
      </w:r>
      <w:r>
        <w:rPr>
          <w:rFonts w:ascii="Times New Roman;serif" w:hAnsi="Times New Roman;serif"/>
          <w:b w:val="false"/>
          <w:color w:val="000000"/>
          <w:sz w:val="22"/>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serif" w:hAnsi="Times New Roman;serif"/>
          <w:b w:val="false"/>
          <w:color w:val="000000"/>
          <w:sz w:val="22"/>
          <w:u w:val="single"/>
        </w:rPr>
        <w:t>Performance Period</w:t>
      </w:r>
      <w:r>
        <w:rPr>
          <w:rFonts w:ascii="Times New Roman;serif" w:hAnsi="Times New Roman;serif"/>
          <w:b w:val="false"/>
          <w:color w:val="000000"/>
          <w:sz w:val="22"/>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pStyle w:val="TextBody"/>
        <w:bidi w:val="0"/>
        <w:spacing w:lineRule="auto" w:line="288" w:before="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Earning of Performance Units/Shares</w:t>
      </w:r>
      <w:r>
        <w:rPr>
          <w:rFonts w:ascii="Times New Roman;serif" w:hAnsi="Times New Roman;serif"/>
          <w:b w:val="false"/>
          <w:color w:val="000000"/>
          <w:sz w:val="22"/>
        </w:rPr>
        <w:t>. After the applicable Performance Period has ended, the holder of Performance Units/Shares will be entitled to receive a payout of the number of Performance Units/ 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Form and Timing of Payment of Performance Units/Shares</w:t>
      </w:r>
      <w:r>
        <w:rPr>
          <w:rFonts w:ascii="Times New Roman;serif" w:hAnsi="Times New Roman;serif"/>
          <w:b w:val="false"/>
          <w:color w:val="000000"/>
          <w:sz w:val="22"/>
        </w:rPr>
        <w:t>. Payment of earned Performance Units/ 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 Shares at the close of the applicable Performance Period) or in a combination thereof.</w:t>
      </w:r>
    </w:p>
    <w:p>
      <w:pPr>
        <w:pStyle w:val="TextBody"/>
        <w:bidi w:val="0"/>
        <w:spacing w:lineRule="auto" w:line="288" w:before="120" w:after="12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Cancellation of Performance Units/Shares</w:t>
      </w:r>
      <w:r>
        <w:rPr>
          <w:rFonts w:ascii="Times New Roman;serif" w:hAnsi="Times New Roman;serif"/>
          <w:b w:val="false"/>
          <w:color w:val="000000"/>
          <w:sz w:val="22"/>
        </w:rPr>
        <w:t>. On the date set forth in the Award Agreement, all unearned or unvested Performance Units/Shares will be forfeited to the Company, and again will be available for grant under the Plan.</w:t>
      </w:r>
    </w:p>
    <w:p>
      <w:pPr>
        <w:pStyle w:val="TextBody"/>
        <w:bidi w:val="0"/>
        <w:spacing w:lineRule="auto" w:line="288" w:before="120" w:after="120"/>
        <w:ind w:left="0" w:right="0" w:hanging="360"/>
        <w:jc w:val="left"/>
        <w:rPr/>
      </w:pPr>
      <w:r>
        <w:rPr>
          <w:rFonts w:ascii="Times New Roman;serif" w:hAnsi="Times New Roman;serif"/>
          <w:b w:val="false"/>
          <w:color w:val="231F20"/>
          <w:sz w:val="22"/>
        </w:rPr>
        <w:t>11.</w:t>
      </w:r>
      <w:r>
        <w:rPr>
          <w:rFonts w:ascii="Times New Roman;serif" w:hAnsi="Times New Roman;serif"/>
          <w:b w:val="false"/>
          <w:color w:val="000000"/>
          <w:sz w:val="22"/>
          <w:u w:val="single"/>
        </w:rPr>
        <w:t>Award Limitations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Outside Director Award Limitations</w:t>
      </w:r>
      <w:r>
        <w:rPr>
          <w:rFonts w:ascii="Times New Roman;serif" w:hAnsi="Times New Roman;serif"/>
          <w:b w:val="false"/>
          <w:color w:val="000000"/>
          <w:sz w:val="22"/>
        </w:rPr>
        <w:t>. No Outside Director may be paid compensation for service as an Outside Director that, in the aggregate, exceeds $2,000,000, increased to $4,000,000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Dividends and Other Distributions</w:t>
      </w:r>
      <w:r>
        <w:rPr>
          <w:rFonts w:ascii="Times New Roman;serif" w:hAnsi="Times New Roman;serif"/>
          <w:b w:val="false"/>
          <w:color w:val="000000"/>
          <w:sz w:val="22"/>
        </w:rPr>
        <w:t>. No dividends or other distributions shall be paid with respect to any Shares underlying any unvested portion of an Award.</w:t>
      </w:r>
    </w:p>
    <w:p>
      <w:pPr>
        <w:pStyle w:val="TextBody"/>
        <w:bidi w:val="0"/>
        <w:spacing w:lineRule="auto" w:line="288" w:before="120" w:after="120"/>
        <w:ind w:left="0" w:right="0" w:hanging="360"/>
        <w:jc w:val="left"/>
        <w:rPr/>
      </w:pPr>
      <w:r>
        <w:rPr>
          <w:rFonts w:ascii="Times New Roman;serif" w:hAnsi="Times New Roman;serif"/>
          <w:b w:val="false"/>
          <w:color w:val="231F20"/>
          <w:sz w:val="22"/>
        </w:rPr>
        <w:t>12.</w:t>
      </w:r>
      <w:r>
        <w:rPr>
          <w:rFonts w:ascii="Times New Roman;serif" w:hAnsi="Times New Roman;serif"/>
          <w:b w:val="false"/>
          <w:color w:val="000000"/>
          <w:sz w:val="22"/>
          <w:u w:val="single"/>
        </w:rPr>
        <w:t>Leaves of Absence/Transfer Between Locations</w:t>
      </w:r>
      <w:r>
        <w:rPr>
          <w:rFonts w:ascii="Times New Roman;serif" w:hAnsi="Times New Roman;serif"/>
          <w:b w:val="false"/>
          <w:color w:val="000000"/>
          <w:sz w:val="22"/>
        </w:rPr>
        <w:t>.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3 months, unless reemployment upon expiration of such leave is guaranteed by statute or contract. If reemployment upon expiration of a leave of absence approved by the Company or the Participant’s employer is not so guaranteed, then 6 months following the 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day of such leave any Incentive Stock Option held by the Participant will cease to be treated as an Incentive Stock Option and will be treated for tax purposes as a Nonstatutory Stock Option.</w:t>
      </w:r>
    </w:p>
    <w:p>
      <w:pPr>
        <w:pStyle w:val="TextBody"/>
        <w:bidi w:val="0"/>
        <w:spacing w:lineRule="auto" w:line="288" w:before="120" w:after="120"/>
        <w:ind w:left="0" w:right="0" w:hanging="360"/>
        <w:jc w:val="left"/>
        <w:rPr/>
      </w:pPr>
      <w:r>
        <w:rPr>
          <w:rFonts w:ascii="Times New Roman;serif" w:hAnsi="Times New Roman;serif"/>
          <w:b w:val="false"/>
          <w:color w:val="231F20"/>
          <w:sz w:val="22"/>
        </w:rPr>
        <w:t>13.</w:t>
      </w:r>
      <w:r>
        <w:rPr>
          <w:rFonts w:ascii="Times New Roman;serif" w:hAnsi="Times New Roman;serif"/>
          <w:b w:val="false"/>
          <w:color w:val="000000"/>
          <w:sz w:val="22"/>
          <w:u w:val="single"/>
        </w:rPr>
        <w:t>Transferability of Awards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General Rule</w:t>
      </w:r>
      <w:r>
        <w:rPr>
          <w:rFonts w:ascii="Times New Roman;serif" w:hAnsi="Times New Roman;serif"/>
          <w:b w:val="false"/>
          <w:color w:val="000000"/>
          <w:sz w:val="22"/>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Domestic Relations Orders</w:t>
      </w:r>
      <w:r>
        <w:rPr>
          <w:rFonts w:ascii="Times New Roman;serif" w:hAnsi="Times New Roman;serif"/>
          <w:b w:val="false"/>
          <w:color w:val="000000"/>
          <w:sz w:val="22"/>
        </w:rPr>
        <w:t>.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Limited Transfers for the Benefit of Family Members</w:t>
      </w:r>
      <w:r>
        <w:rPr>
          <w:rFonts w:ascii="Times New Roman;serif" w:hAnsi="Times New Roman;serif"/>
          <w:b w:val="false"/>
          <w:color w:val="000000"/>
          <w:sz w:val="22"/>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pStyle w:val="TextBody"/>
        <w:bidi w:val="0"/>
        <w:spacing w:lineRule="auto" w:line="288" w:before="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Permitted Transferees</w:t>
      </w:r>
      <w:r>
        <w:rPr>
          <w:rFonts w:ascii="Times New Roman;serif" w:hAnsi="Times New Roman;serif"/>
          <w:b w:val="false"/>
          <w:color w:val="000000"/>
          <w:sz w:val="22"/>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pStyle w:val="TextBody"/>
        <w:bidi w:val="0"/>
        <w:spacing w:lineRule="auto" w:line="288" w:before="120" w:after="120"/>
        <w:ind w:left="0" w:right="0" w:hanging="360"/>
        <w:jc w:val="left"/>
        <w:rPr/>
      </w:pPr>
      <w:r>
        <w:rPr>
          <w:rFonts w:ascii="Times New Roman;serif" w:hAnsi="Times New Roman;serif"/>
          <w:b w:val="false"/>
          <w:color w:val="231F20"/>
          <w:sz w:val="22"/>
        </w:rPr>
        <w:t>14.</w:t>
      </w:r>
      <w:r>
        <w:rPr>
          <w:rFonts w:ascii="Times New Roman;serif" w:hAnsi="Times New Roman;serif"/>
          <w:b w:val="false"/>
          <w:color w:val="000000"/>
          <w:sz w:val="22"/>
          <w:u w:val="single"/>
        </w:rPr>
        <w:t>Adjustments; Dissolution or Liquidation; Merger or Change in Control; Death</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number, class, and price of shares of stock covered by each outstanding Award, and the numerical Share limits in Section 3 of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Dissolution or Liquidation</w:t>
      </w:r>
      <w:r>
        <w:rPr>
          <w:rFonts w:ascii="Times New Roman;serif" w:hAnsi="Times New Roman;serif"/>
          <w:b w:val="false"/>
          <w:color w:val="000000"/>
          <w:sz w:val="22"/>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Merger or Change in Control</w:t>
      </w:r>
      <w:r>
        <w:rPr>
          <w:rFonts w:ascii="Times New Roman;serif" w:hAnsi="Times New Roman;serif"/>
          <w:b w:val="false"/>
          <w:color w:val="000000"/>
          <w:sz w:val="22"/>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Outside Director Awards</w:t>
      </w:r>
      <w:r>
        <w:rPr>
          <w:rFonts w:ascii="Times New Roman;serif" w:hAnsi="Times New Roman;serif"/>
          <w:b w:val="false"/>
          <w:color w:val="000000"/>
          <w:sz w:val="22"/>
        </w:rPr>
        <w:t>.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pStyle w:val="TextBody"/>
        <w:bidi w:val="0"/>
        <w:spacing w:lineRule="auto" w:line="288" w:before="120" w:after="120"/>
        <w:ind w:left="0" w:right="0" w:hanging="360"/>
        <w:jc w:val="left"/>
        <w:rPr/>
      </w:pPr>
      <w:r>
        <w:rPr>
          <w:rFonts w:ascii="Times New Roman;serif" w:hAnsi="Times New Roman;serif"/>
          <w:b w:val="false"/>
          <w:color w:val="231F20"/>
          <w:sz w:val="22"/>
        </w:rPr>
        <w:t>15.</w:t>
      </w:r>
      <w:r>
        <w:rPr>
          <w:rFonts w:ascii="Times New Roman;serif" w:hAnsi="Times New Roman;serif"/>
          <w:b w:val="false"/>
          <w:color w:val="000000"/>
          <w:sz w:val="22"/>
          <w:u w:val="single"/>
        </w:rPr>
        <w:t>Tax Matters</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Withholding Requirements</w:t>
      </w:r>
      <w:r>
        <w:rPr>
          <w:rFonts w:ascii="Times New Roman;serif" w:hAnsi="Times New Roman;serif"/>
          <w:b w:val="false"/>
          <w:color w:val="000000"/>
          <w:sz w:val="22"/>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Withholding Arrangements</w:t>
      </w:r>
      <w:r>
        <w:rPr>
          <w:rFonts w:ascii="Times New Roman;serif" w:hAnsi="Times New Roman;serif"/>
          <w:b w:val="false"/>
          <w:color w:val="000000"/>
          <w:sz w:val="22"/>
        </w:rPr>
        <w:t xml:space="preserve">.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pStyle w:val="TextBody"/>
        <w:bidi w:val="0"/>
        <w:spacing w:lineRule="auto" w:line="288" w:before="0" w:after="0"/>
        <w:jc w:val="left"/>
        <w:rPr/>
      </w:pPr>
      <w:r>
        <w:rPr>
          <w:rFonts w:ascii="Times New Roman;serif" w:hAnsi="Times New Roman;serif"/>
          <w:b w:val="false"/>
          <w:color w:val="000000"/>
          <w:sz w:val="22"/>
          <w:u w:val="single"/>
        </w:rPr>
        <w:t xml:space="preserve">Compliance With Section 409A. </w:t>
      </w:r>
      <w:r>
        <w:rPr>
          <w:rFonts w:ascii="Times New Roman;serif" w:hAnsi="Times New Roman;serif"/>
          <w:b w:val="false"/>
          <w:color w:val="000000"/>
          <w:sz w:val="22"/>
        </w:rPr>
        <w:t>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pStyle w:val="TextBody"/>
        <w:bidi w:val="0"/>
        <w:spacing w:lineRule="auto" w:line="288" w:before="120" w:after="120"/>
        <w:ind w:left="0" w:right="0" w:hanging="360"/>
        <w:jc w:val="left"/>
        <w:rPr/>
      </w:pPr>
      <w:r>
        <w:rPr>
          <w:rFonts w:ascii="Times New Roman;serif" w:hAnsi="Times New Roman;serif"/>
          <w:b w:val="false"/>
          <w:color w:val="231F20"/>
          <w:sz w:val="22"/>
        </w:rPr>
        <w:t>16.</w:t>
      </w:r>
      <w:r>
        <w:rPr>
          <w:rFonts w:ascii="Times New Roman;serif" w:hAnsi="Times New Roman;serif"/>
          <w:b w:val="false"/>
          <w:color w:val="000000"/>
          <w:sz w:val="22"/>
          <w:u w:val="single"/>
        </w:rPr>
        <w:t>Miscellaneous.</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Stockholder Approval and Term of Plan</w:t>
      </w:r>
      <w:r>
        <w:rPr>
          <w:rFonts w:ascii="Times New Roman;serif" w:hAnsi="Times New Roman;serif"/>
          <w:b w:val="false"/>
          <w:color w:val="000000"/>
          <w:sz w:val="22"/>
        </w:rPr>
        <w:t>. The Plan will become effective upon its approval by the Company’s stockholders within 12 months after the date the Plan is adopted by the Board. Such stockholder approval will be obtained in the manner and to the degree required under Applicable Laws. The Plan will continue in effect until terminated earlier under Section 17 of the Plan, but no Incentive Stock Options may be granted after 10 years from the date the Plan is adopted by the Board.</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Legal Compliance</w:t>
      </w:r>
      <w:r>
        <w:rPr>
          <w:rFonts w:ascii="Times New Roman;serif" w:hAnsi="Times New Roman;serif"/>
          <w:b w:val="false"/>
          <w:color w:val="000000"/>
          <w:sz w:val="22"/>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Investment Representations</w:t>
      </w:r>
      <w:r>
        <w:rPr>
          <w:rFonts w:ascii="Times New Roman;serif" w:hAnsi="Times New Roman;serif"/>
          <w:b w:val="false"/>
          <w:color w:val="000000"/>
          <w:sz w:val="22"/>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Inability to Obtain Authority</w:t>
      </w:r>
      <w:r>
        <w:rPr>
          <w:rFonts w:ascii="Times New Roman;serif" w:hAnsi="Times New Roman;serif"/>
          <w:b w:val="false"/>
          <w:color w:val="000000"/>
          <w:sz w:val="22"/>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pStyle w:val="TextBody"/>
        <w:bidi w:val="0"/>
        <w:spacing w:lineRule="auto" w:line="288" w:before="120" w:after="120"/>
        <w:ind w:left="0" w:right="0" w:hanging="562"/>
        <w:jc w:val="left"/>
        <w:rPr/>
      </w:pPr>
      <w:r>
        <w:rPr>
          <w:rFonts w:ascii="Times New Roman;serif" w:hAnsi="Times New Roman;serif"/>
          <w:b w:val="false"/>
          <w:color w:val="231F20"/>
          <w:sz w:val="22"/>
        </w:rPr>
        <w:t>(e)</w:t>
      </w:r>
      <w:r>
        <w:rPr>
          <w:rFonts w:ascii="Times New Roman;serif" w:hAnsi="Times New Roman;serif"/>
          <w:b w:val="false"/>
          <w:color w:val="000000"/>
          <w:sz w:val="22"/>
          <w:u w:val="single"/>
        </w:rPr>
        <w:t>No Effect on Employment or Service</w:t>
      </w:r>
      <w:r>
        <w:rPr>
          <w:rFonts w:ascii="Times New Roman;serif" w:hAnsi="Times New Roman;serif"/>
          <w:b w:val="false"/>
          <w:color w:val="000000"/>
          <w:sz w:val="22"/>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lineRule="auto" w:line="288" w:before="0" w:after="0"/>
        <w:ind w:left="0" w:right="0" w:hanging="562"/>
        <w:jc w:val="left"/>
        <w:rPr/>
      </w:pPr>
      <w:r>
        <w:rPr>
          <w:rFonts w:ascii="Times New Roman;serif" w:hAnsi="Times New Roman;serif"/>
          <w:b w:val="false"/>
          <w:color w:val="231F20"/>
          <w:sz w:val="22"/>
        </w:rPr>
        <w:t>(f)</w:t>
      </w:r>
      <w:r>
        <w:rPr>
          <w:rFonts w:ascii="Times New Roman;serif" w:hAnsi="Times New Roman;serif"/>
          <w:b w:val="false"/>
          <w:color w:val="000000"/>
          <w:sz w:val="22"/>
          <w:u w:val="single"/>
        </w:rPr>
        <w:t>Forfeiture Events</w:t>
      </w:r>
      <w:r>
        <w:rPr>
          <w:rFonts w:ascii="Times New Roman;serif" w:hAnsi="Times New Roman;serif"/>
          <w:b w:val="false"/>
          <w:color w:val="000000"/>
          <w:sz w:val="22"/>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to comply with Applicable Laws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pStyle w:val="TextBody"/>
        <w:bidi w:val="0"/>
        <w:spacing w:lineRule="auto" w:line="288" w:before="120" w:after="120"/>
        <w:ind w:left="0" w:right="0" w:hanging="360"/>
        <w:jc w:val="left"/>
        <w:rPr/>
      </w:pPr>
      <w:r>
        <w:rPr>
          <w:rFonts w:ascii="Times New Roman;serif" w:hAnsi="Times New Roman;serif"/>
          <w:b w:val="false"/>
          <w:color w:val="231F20"/>
          <w:sz w:val="22"/>
        </w:rPr>
        <w:t>17.</w:t>
      </w:r>
      <w:r>
        <w:rPr>
          <w:rFonts w:ascii="Times New Roman;serif" w:hAnsi="Times New Roman;serif"/>
          <w:b w:val="false"/>
          <w:color w:val="000000"/>
          <w:sz w:val="22"/>
          <w:u w:val="single"/>
        </w:rPr>
        <w:t>Amendment and Termination of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(a)</w:t>
      </w:r>
      <w:r>
        <w:rPr>
          <w:rFonts w:ascii="Times New Roman;serif" w:hAnsi="Times New Roman;serif"/>
          <w:b w:val="false"/>
          <w:color w:val="000000"/>
          <w:sz w:val="22"/>
          <w:u w:val="single"/>
        </w:rPr>
        <w:t>Amendment and Termination</w:t>
      </w:r>
      <w:r>
        <w:rPr>
          <w:rFonts w:ascii="Times New Roman;serif" w:hAnsi="Times New Roman;serif"/>
          <w:b w:val="false"/>
          <w:color w:val="000000"/>
          <w:sz w:val="22"/>
        </w:rPr>
        <w:t>. The Administrator, at any time, may amend, alter, suspend or terminate the Plan.</w:t>
      </w:r>
    </w:p>
    <w:p>
      <w:pPr>
        <w:pStyle w:val="TextBody"/>
        <w:bidi w:val="0"/>
        <w:spacing w:lineRule="auto" w:line="288" w:before="120" w:after="120"/>
        <w:ind w:left="0" w:right="0" w:hanging="562"/>
        <w:jc w:val="left"/>
        <w:rPr/>
      </w:pPr>
      <w:r>
        <w:rPr>
          <w:rFonts w:ascii="Times New Roman;serif" w:hAnsi="Times New Roman;serif"/>
          <w:b w:val="false"/>
          <w:color w:val="231F20"/>
          <w:sz w:val="22"/>
        </w:rPr>
        <w:t>(b)</w:t>
      </w:r>
      <w:r>
        <w:rPr>
          <w:rFonts w:ascii="Times New Roman;serif" w:hAnsi="Times New Roman;serif"/>
          <w:b w:val="false"/>
          <w:color w:val="000000"/>
          <w:sz w:val="22"/>
          <w:u w:val="single"/>
        </w:rPr>
        <w:t>Stockholder Approval</w:t>
      </w:r>
      <w:r>
        <w:rPr>
          <w:rFonts w:ascii="Times New Roman;serif" w:hAnsi="Times New Roman;serif"/>
          <w:b w:val="false"/>
          <w:color w:val="000000"/>
          <w:sz w:val="22"/>
        </w:rPr>
        <w:t>. The Company will obtain stockholder approval of any Plan amendment to the extent necessary and desirable to comply with Applicable Laws.</w:t>
      </w:r>
    </w:p>
    <w:p>
      <w:pPr>
        <w:pStyle w:val="TextBody"/>
        <w:bidi w:val="0"/>
        <w:spacing w:lineRule="auto" w:line="288" w:before="120" w:after="120"/>
        <w:ind w:left="0" w:right="0" w:hanging="562"/>
        <w:jc w:val="left"/>
        <w:rPr/>
      </w:pPr>
      <w:r>
        <w:rPr>
          <w:rFonts w:ascii="Times New Roman;serif" w:hAnsi="Times New Roman;serif"/>
          <w:b w:val="false"/>
          <w:color w:val="231F20"/>
          <w:sz w:val="22"/>
        </w:rPr>
        <w:t>(c)</w:t>
      </w:r>
      <w:r>
        <w:rPr>
          <w:rFonts w:ascii="Times New Roman;serif" w:hAnsi="Times New Roman;serif"/>
          <w:b w:val="false"/>
          <w:color w:val="000000"/>
          <w:sz w:val="22"/>
          <w:u w:val="single"/>
        </w:rPr>
        <w:t>Consent of Participants Generally Required</w:t>
      </w:r>
      <w:r>
        <w:rPr>
          <w:rFonts w:ascii="Times New Roman;serif" w:hAnsi="Times New Roman;serif"/>
          <w:b w:val="false"/>
          <w:color w:val="000000"/>
          <w:sz w:val="22"/>
        </w:rPr>
        <w:t xml:space="preserve">.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w:t>
      </w:r>
    </w:p>
    <w:p>
      <w:pPr>
        <w:pStyle w:val="TextBody"/>
        <w:bidi w:val="0"/>
        <w:spacing w:lineRule="auto" w:line="288" w:before="120" w:after="120"/>
        <w:jc w:val="left"/>
        <w:rPr>
          <w:rFonts w:ascii="Times New Roman;serif" w:hAnsi="Times New Roman;serif"/>
          <w:b w:val="false"/>
          <w:color w:val="000000"/>
          <w:sz w:val="22"/>
        </w:rPr>
      </w:pPr>
      <w:r>
        <w:rPr>
          <w:rFonts w:ascii="Times New Roman;serif" w:hAnsi="Times New Roman;serif"/>
          <w:b w:val="false"/>
          <w:color w:val="000000"/>
          <w:sz w:val="22"/>
        </w:rPr>
        <w:t>the Participant and the Company. Termination of the Plan will not affect the Administrator’s ability to exercise the powers granted to it regarding Awards granted under the Plan prior to such termination.</w:t>
      </w:r>
    </w:p>
    <w:p>
      <w:pPr>
        <w:pStyle w:val="TextBody"/>
        <w:bidi w:val="0"/>
        <w:spacing w:lineRule="auto" w:line="288" w:before="120" w:after="120"/>
        <w:ind w:left="0" w:right="0" w:hanging="562"/>
        <w:jc w:val="left"/>
        <w:rPr/>
      </w:pPr>
      <w:r>
        <w:rPr>
          <w:rFonts w:ascii="Times New Roman;serif" w:hAnsi="Times New Roman;serif"/>
          <w:b w:val="false"/>
          <w:color w:val="231F20"/>
          <w:sz w:val="22"/>
        </w:rPr>
        <w:t>(d)</w:t>
      </w:r>
      <w:r>
        <w:rPr>
          <w:rFonts w:ascii="Times New Roman;serif" w:hAnsi="Times New Roman;serif"/>
          <w:b w:val="false"/>
          <w:color w:val="000000"/>
          <w:sz w:val="22"/>
          <w:u w:val="single"/>
        </w:rPr>
        <w:t>Exceptions to Consent Requirement</w:t>
      </w:r>
      <w:r>
        <w:rPr>
          <w:rFonts w:ascii="Times New Roman;serif" w:hAnsi="Times New Roman;serif"/>
          <w:b w:val="false"/>
          <w:color w:val="000000"/>
          <w:sz w:val="22"/>
        </w:rPr>
        <w:t>.</w:t>
      </w:r>
    </w:p>
    <w:p>
      <w:pPr>
        <w:pStyle w:val="TextBody"/>
        <w:bidi w:val="0"/>
        <w:spacing w:lineRule="auto" w:line="288" w:before="120" w:after="120"/>
        <w:ind w:left="0" w:right="0" w:hanging="562"/>
        <w:jc w:val="left"/>
        <w:rPr/>
      </w:pPr>
      <w:r>
        <w:rPr>
          <w:rFonts w:ascii="Times New Roman;serif" w:hAnsi="Times New Roman;serif"/>
          <w:b w:val="false"/>
          <w:color w:val="231F20"/>
          <w:sz w:val="22"/>
        </w:rPr>
        <w:t>(i)</w:t>
      </w:r>
      <w:r>
        <w:rPr>
          <w:rFonts w:ascii="Times New Roman;serif" w:hAnsi="Times New Roman;serif"/>
          <w:b w:val="false"/>
          <w:color w:val="000000"/>
          <w:sz w:val="22"/>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pStyle w:val="TextBody"/>
        <w:bidi w:val="0"/>
        <w:spacing w:lineRule="auto" w:line="288" w:before="120" w:after="120"/>
        <w:ind w:left="0" w:right="0" w:hanging="562"/>
        <w:jc w:val="left"/>
        <w:rPr/>
      </w:pPr>
      <w:r>
        <w:rPr>
          <w:rFonts w:ascii="Times New Roman;serif" w:hAnsi="Times New Roman;serif"/>
          <w:b w:val="false"/>
          <w:color w:val="231F20"/>
          <w:sz w:val="22"/>
        </w:rPr>
        <w:t>(ii)</w:t>
      </w:r>
      <w:r>
        <w:rPr>
          <w:rFonts w:ascii="Times New Roman;serif" w:hAnsi="Times New Roman;serif"/>
          <w:b w:val="false"/>
          <w:color w:val="000000"/>
          <w:sz w:val="22"/>
        </w:rPr>
        <w:t>Subject to the limitations of Applicable Laws, if any, the Administrator may amend the terms of any one or more Awards without the affected Participant’s consent even if it does materially impair the Participant’s right if such amendment is done</w:t>
      </w:r>
    </w:p>
    <w:p>
      <w:pPr>
        <w:pStyle w:val="TextBody"/>
        <w:bidi w:val="0"/>
        <w:spacing w:lineRule="auto" w:line="288" w:before="120" w:after="120"/>
        <w:ind w:left="0" w:right="0" w:hanging="561"/>
        <w:jc w:val="left"/>
        <w:rPr/>
      </w:pPr>
      <w:r>
        <w:rPr>
          <w:rFonts w:ascii="Times New Roman;serif" w:hAnsi="Times New Roman;serif"/>
          <w:b w:val="false"/>
          <w:color w:val="231F20"/>
          <w:sz w:val="22"/>
        </w:rPr>
        <w:t>(1)</w:t>
      </w:r>
      <w:r>
        <w:rPr>
          <w:rFonts w:ascii="Times New Roman;serif" w:hAnsi="Times New Roman;serif"/>
          <w:b w:val="false"/>
          <w:color w:val="000000"/>
          <w:sz w:val="22"/>
        </w:rPr>
        <w:t>in a manner expressly permitted under the Plan;</w:t>
      </w:r>
    </w:p>
    <w:p>
      <w:pPr>
        <w:pStyle w:val="TextBody"/>
        <w:bidi w:val="0"/>
        <w:spacing w:lineRule="auto" w:line="288" w:before="120" w:after="120"/>
        <w:ind w:left="0" w:right="0" w:hanging="561"/>
        <w:jc w:val="left"/>
        <w:rPr/>
      </w:pPr>
      <w:r>
        <w:rPr>
          <w:rFonts w:ascii="Times New Roman;serif" w:hAnsi="Times New Roman;serif"/>
          <w:b w:val="false"/>
          <w:color w:val="231F20"/>
          <w:sz w:val="22"/>
        </w:rPr>
        <w:t>(2)</w:t>
      </w:r>
      <w:r>
        <w:rPr>
          <w:rFonts w:ascii="Times New Roman;serif" w:hAnsi="Times New Roman;serif"/>
          <w:b w:val="false"/>
          <w:color w:val="000000"/>
          <w:sz w:val="22"/>
        </w:rPr>
        <w:t>to maintain the qualified status of the Award as an Incentive Stock Option under Section 422 of the Code;</w:t>
      </w:r>
    </w:p>
    <w:p>
      <w:pPr>
        <w:pStyle w:val="TextBody"/>
        <w:bidi w:val="0"/>
        <w:spacing w:lineRule="auto" w:line="288" w:before="120" w:after="120"/>
        <w:ind w:left="0" w:right="0" w:hanging="561"/>
        <w:jc w:val="left"/>
        <w:rPr/>
      </w:pPr>
      <w:r>
        <w:rPr>
          <w:rFonts w:ascii="Times New Roman;serif" w:hAnsi="Times New Roman;serif"/>
          <w:b w:val="false"/>
          <w:color w:val="231F20"/>
          <w:sz w:val="22"/>
        </w:rPr>
        <w:t>(3)</w:t>
      </w:r>
      <w:r>
        <w:rPr>
          <w:rFonts w:ascii="Times New Roman;serif" w:hAnsi="Times New Roman;serif"/>
          <w:b w:val="false"/>
          <w:color w:val="000000"/>
          <w:sz w:val="22"/>
        </w:rPr>
        <w:t>to change the terms of an Incentive Stock Option, if such change results in impairment of the Award only because it impairs the qualified status of the Award as an Incentive Stock Option under Section 422 of the Code;</w:t>
      </w:r>
    </w:p>
    <w:p>
      <w:pPr>
        <w:pStyle w:val="TextBody"/>
        <w:bidi w:val="0"/>
        <w:spacing w:lineRule="auto" w:line="288" w:before="120" w:after="120"/>
        <w:ind w:left="0" w:right="0" w:hanging="561"/>
        <w:jc w:val="left"/>
        <w:rPr/>
      </w:pPr>
      <w:r>
        <w:rPr>
          <w:rFonts w:ascii="Times New Roman;serif" w:hAnsi="Times New Roman;serif"/>
          <w:b w:val="false"/>
          <w:color w:val="231F20"/>
          <w:sz w:val="22"/>
        </w:rPr>
        <w:t>(4)</w:t>
      </w:r>
      <w:r>
        <w:rPr>
          <w:rFonts w:ascii="Times New Roman;serif" w:hAnsi="Times New Roman;serif"/>
          <w:b w:val="false"/>
          <w:color w:val="000000"/>
          <w:sz w:val="22"/>
        </w:rPr>
        <w:t>to clarify the manner of exemption from, or to bring the Award into compliance with, Section 409A; or</w:t>
      </w:r>
    </w:p>
    <w:p>
      <w:pPr>
        <w:pStyle w:val="TextBody"/>
        <w:bidi w:val="0"/>
        <w:spacing w:lineRule="auto" w:line="288" w:before="120" w:after="120"/>
        <w:ind w:left="0" w:right="0" w:hanging="561"/>
        <w:jc w:val="left"/>
        <w:rPr/>
      </w:pPr>
      <w:r>
        <w:rPr>
          <w:rFonts w:ascii="Times New Roman;serif" w:hAnsi="Times New Roman;serif"/>
          <w:b w:val="false"/>
          <w:color w:val="231F20"/>
          <w:sz w:val="22"/>
        </w:rPr>
        <w:t>(5)</w:t>
      </w:r>
      <w:r>
        <w:rPr>
          <w:rFonts w:ascii="Times New Roman;serif" w:hAnsi="Times New Roman;serif"/>
          <w:b w:val="false"/>
          <w:color w:val="000000"/>
          <w:sz w:val="22"/>
        </w:rPr>
        <w:t>to comply with other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08"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PALO ALTO NETWORKS, INC.</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2021 EQUITY INCENTIVE PLAN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GLOBAL STOCK OPTION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Unless otherwise defined herein, the terms defined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will have the same defined meanings in this Notice of Grant of Stock Option (the “</w:t>
      </w:r>
      <w:r>
        <w:rPr>
          <w:rFonts w:ascii="Times New Roman;serif" w:hAnsi="Times New Roman;serif"/>
          <w:b w:val="false"/>
          <w:color w:val="000000"/>
          <w:sz w:val="22"/>
          <w:u w:val="single"/>
        </w:rPr>
        <w:t>Notice of Grant</w:t>
      </w:r>
      <w:r>
        <w:rPr>
          <w:color w:val="000000"/>
        </w:rPr>
        <w:t>”</w:t>
      </w:r>
      <w:r>
        <w:rPr>
          <w:rFonts w:ascii="Times New Roman;serif" w:hAnsi="Times New Roman;serif"/>
          <w:b w:val="false"/>
          <w:color w:val="000000"/>
          <w:sz w:val="22"/>
        </w:rPr>
        <w:t xml:space="preserve">), the Terms and Conditions of Stock Option Grant,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and the Addendum,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all of which are made a part of this document (together, the “</w:t>
      </w:r>
      <w:r>
        <w:rPr>
          <w:rFonts w:ascii="Times New Roman;serif" w:hAnsi="Times New Roman;serif"/>
          <w:b w:val="false"/>
          <w:color w:val="000000"/>
          <w:sz w:val="22"/>
          <w:u w:val="single"/>
        </w:rPr>
        <w:t>Award Agreement</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NOTICE OF STOCK OPTION GRANT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has been granted an Option to purchase Common Stock of the Company, subject to the terms and conditions of the Plan and this Award Agreement, as follows:</w:t>
      </w:r>
    </w:p>
    <w:tbl>
      <w:tblPr>
        <w:tblW w:w="6233" w:type="dxa"/>
        <w:jc w:val="left"/>
        <w:tblInd w:w="0" w:type="dxa"/>
        <w:tblLayout w:type="fixed"/>
        <w:tblCellMar>
          <w:top w:w="28" w:type="dxa"/>
          <w:left w:w="28" w:type="dxa"/>
          <w:bottom w:w="28" w:type="dxa"/>
          <w:right w:w="28" w:type="dxa"/>
        </w:tblCellMar>
      </w:tblPr>
      <w:tblGrid>
        <w:gridCol w:w="1058"/>
        <w:gridCol w:w="932"/>
        <w:gridCol w:w="935"/>
        <w:gridCol w:w="109"/>
        <w:gridCol w:w="109"/>
        <w:gridCol w:w="109"/>
        <w:gridCol w:w="109"/>
        <w:gridCol w:w="109"/>
        <w:gridCol w:w="109"/>
        <w:gridCol w:w="777"/>
        <w:gridCol w:w="777"/>
        <w:gridCol w:w="1100"/>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Vesting Commencement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Number of Shares 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Exercise Price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Exercise Price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Type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Incentive Stock Option</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Nonstatutory Stock Option</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Term/Expiration Date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40"/>
        <w:ind w:left="0" w:right="0" w:firstLine="720"/>
        <w:jc w:val="both"/>
        <w:rPr/>
      </w:pPr>
      <w:r>
        <w:rPr>
          <w:rFonts w:ascii="Times New Roman;serif" w:hAnsi="Times New Roman;serif"/>
          <w:b w:val="false"/>
          <w:color w:val="000000"/>
          <w:sz w:val="22"/>
          <w:u w:val="single"/>
        </w:rPr>
        <w:t>Vesting Schedule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any acceleration provisions contained in the Plan, the Survivor Benefit Policy (as defined below), or set forth below, this Option will be exercisable, in whole or in part, in accordance with the following schedule:</w:t>
      </w:r>
    </w:p>
    <w:p>
      <w:pPr>
        <w:pStyle w:val="TextBody"/>
        <w:bidi w:val="0"/>
        <w:spacing w:lineRule="auto" w:line="288" w:before="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[INSERT VESTING SCHEDULE].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in each case is subject to Participant continuing to be a Service Provider through the applicable vesting date, as further described in Section 10(l) of the Terms and Conditions of Global Stock Option Grant.</w:t>
      </w:r>
    </w:p>
    <w:p>
      <w:pPr>
        <w:pStyle w:val="TextBody"/>
        <w:bidi w:val="0"/>
        <w:spacing w:lineRule="auto" w:line="288" w:before="180" w:after="200"/>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the event Participant ceases to be a Service Provider for any or no reason before Participant the Options fully vest, the unvested portion of the Option and Participant’s right to acquire any Shares thereunder will immediately terminate.</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Termination Period</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Option will be exercisable for three months after Participant ceases to be a Service Provider, unless such termination is due to Participant’s death or Disability, in which case this Option will be exercisable for 12 months after Participant ceases to be a Service Provider. Notwithstanding the foregoing sentence, in no event may this Option be exercised after the Term/Expiration Date as provided above and may be subject to earlier termination as provided in Section 14(c) of the Plan.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acceptance of this Award Agreement (whether explicitly accepted electronically or otherwise or deemed accepted under the following paragraph), Participant agrees that: (a) this Option is granted under and governed by the terms and conditions of the Plan and this Award Agreement; (b) Participant has reviewed the Plan and this Award Agreement in their entirety, has had an opportunity to obtain the advice of counsel prior to accepting this Award Agreement and fully understands all provisions of the Plan and this Award Agreement; (c) Participant expressly acknowledges the information provided in the Addendum related to the collection, processing and use of Participant’s personal data by the Company and its Subsidiaries and the transfer of personal data to the recipients mentioned in the Addendum; and (d) Participant hereby agrees to accept as binding, conclusive and final all decisions or interpretations of the Administrator upon any questions relating to the Plan and this Award Agreement. </w:t>
      </w:r>
    </w:p>
    <w:p>
      <w:pPr>
        <w:pStyle w:val="TextBody"/>
        <w:bidi w:val="0"/>
        <w:spacing w:lineRule="auto" w:line="288" w:before="240" w:after="283"/>
        <w:ind w:left="0" w:right="0" w:firstLine="720"/>
        <w:jc w:val="both"/>
        <w:rPr>
          <w:rFonts w:ascii="Times New Roman;serif" w:hAnsi="Times New Roman;serif"/>
          <w:b/>
          <w:color w:val="000000"/>
          <w:sz w:val="22"/>
        </w:rPr>
      </w:pPr>
      <w:r>
        <w:rPr>
          <w:rFonts w:ascii="Times New Roman;serif" w:hAnsi="Times New Roman;serif"/>
          <w:b/>
          <w:color w:val="000000"/>
          <w:sz w:val="22"/>
        </w:rPr>
        <w:t>If Participant does not accept or decline this Option by the earliest to occur of (1) the 30th calendar day following the Date of Grant, (2) the first scheduled vesting date of the Option, and (3) such other date that is communicated to Participant by the Company at the time of grant, this Option will be deemed to have accepted by the Participant, including acceptance of the provisions in the preceding paragraph. To decline this Option, Participant must notify equity@paloaltonetworks.com before the earliest to occur of the dates described in clauses (1) through (3) above. If Participant declines this Option, the Option will be cancelled and no benefits from the Option nor any compensation or benefits in lieu of the Option will be provided to Participant.</w:t>
      </w:r>
    </w:p>
    <w:tbl>
      <w:tblPr>
        <w:tblW w:w="4846" w:type="dxa"/>
        <w:jc w:val="left"/>
        <w:tblInd w:w="0" w:type="dxa"/>
        <w:tblLayout w:type="fixed"/>
        <w:tblCellMar>
          <w:top w:w="28" w:type="dxa"/>
          <w:left w:w="28" w:type="dxa"/>
          <w:bottom w:w="28" w:type="dxa"/>
          <w:right w:w="28" w:type="dxa"/>
        </w:tblCellMar>
      </w:tblPr>
      <w:tblGrid>
        <w:gridCol w:w="571"/>
        <w:gridCol w:w="502"/>
        <w:gridCol w:w="503"/>
        <w:gridCol w:w="957"/>
        <w:gridCol w:w="957"/>
        <w:gridCol w:w="135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pStyle w:val="TextBody"/>
        <w:bidi w:val="0"/>
        <w:spacing w:before="240" w:after="283"/>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TERMS AND CONDITIONS OF GLOBAL STOCK OPTION GRANT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Grant of Option</w:t>
      </w:r>
      <w:r>
        <w:rPr>
          <w:rFonts w:ascii="Times New Roman;serif" w:hAnsi="Times New Roman;serif"/>
          <w:b w:val="false"/>
          <w:color w:val="000000"/>
          <w:sz w:val="22"/>
        </w:rPr>
        <w:t>. The Company hereby grants to the Participant named in the Notice of Grant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an option (the “</w:t>
      </w:r>
      <w:r>
        <w:rPr>
          <w:rFonts w:ascii="Times New Roman;serif" w:hAnsi="Times New Roman;serif"/>
          <w:b w:val="false"/>
          <w:color w:val="000000"/>
          <w:sz w:val="22"/>
          <w:u w:val="single"/>
        </w:rPr>
        <w:t>Option</w:t>
      </w:r>
      <w:r>
        <w:rPr>
          <w:color w:val="000000"/>
        </w:rPr>
        <w:t>”</w:t>
      </w:r>
      <w:r>
        <w:rPr>
          <w:rFonts w:ascii="Times New Roman;serif" w:hAnsi="Times New Roman;serif"/>
          <w:b w:val="false"/>
          <w:color w:val="000000"/>
          <w:sz w:val="22"/>
        </w:rPr>
        <w:t>) to purchase the number of Shares, as set forth in the Notice of Grant, at the exercise price per Share set forth in the Notice of Grant (the “</w:t>
      </w:r>
      <w:r>
        <w:rPr>
          <w:rFonts w:ascii="Times New Roman;serif" w:hAnsi="Times New Roman;serif"/>
          <w:b w:val="false"/>
          <w:color w:val="000000"/>
          <w:sz w:val="22"/>
          <w:u w:val="single"/>
        </w:rPr>
        <w:t>Exercise Price</w:t>
      </w:r>
      <w:r>
        <w:rPr>
          <w:color w:val="000000"/>
        </w:rPr>
        <w:t>”</w:t>
      </w:r>
      <w:r>
        <w:rPr>
          <w:rFonts w:ascii="Times New Roman;serif" w:hAnsi="Times New Roman;serif"/>
          <w:b w:val="false"/>
          <w:color w:val="000000"/>
          <w:sz w:val="22"/>
        </w:rPr>
        <w:t xml:space="preserve">),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If designated in the Notice of Grant as an Incentive Stock Option (“</w:t>
      </w:r>
      <w:r>
        <w:rPr>
          <w:rFonts w:ascii="Times New Roman;serif" w:hAnsi="Times New Roman;serif"/>
          <w:b w:val="false"/>
          <w:color w:val="000000"/>
          <w:sz w:val="22"/>
          <w:u w:val="single"/>
        </w:rPr>
        <w:t>ISO</w:t>
      </w:r>
      <w:r>
        <w:rPr>
          <w:color w:val="000000"/>
        </w:rPr>
        <w:t>”</w:t>
      </w:r>
      <w:r>
        <w:rPr>
          <w:rFonts w:ascii="Times New Roman;serif" w:hAnsi="Times New Roman;serif"/>
          <w:b w:val="false"/>
          <w:color w:val="000000"/>
          <w:sz w:val="22"/>
        </w:rPr>
        <w:t>), this Option is intended to qualify as an ISO under Section 422 of the Code. However, if this Option is intended to be an Incentive Stock Option, to the extent required by the $100,000 rule of Code Section 422(d), it will be treated as a Nonstatutory Stock Option (“</w:t>
      </w:r>
      <w:r>
        <w:rPr>
          <w:rFonts w:ascii="Times New Roman;serif" w:hAnsi="Times New Roman;serif"/>
          <w:b w:val="false"/>
          <w:color w:val="000000"/>
          <w:sz w:val="22"/>
          <w:u w:val="single"/>
        </w:rPr>
        <w:t>NSO</w:t>
      </w:r>
      <w:r>
        <w:rPr>
          <w:color w:val="000000"/>
        </w:rPr>
        <w:t>”</w:t>
      </w:r>
      <w:r>
        <w:rPr>
          <w:rFonts w:ascii="Times New Roman;serif" w:hAnsi="Times New Roman;serif"/>
          <w:b w:val="false"/>
          <w:color w:val="000000"/>
          <w:sz w:val="22"/>
        </w:rPr>
        <w:t>). Further, if for any reason this Option (or portion thereof) will not qualify as an ISO, then, to the extent of such nonqualification, such Option (or portion thereof) will be regarded as an NSO granted under the Plan. In no event will the Administrator, the Company or any Parent or Subsidiary or any of their respective employees or directors have any liability or obligation to reimburse, indemnify, or hold harmless Participant (or any other person) due to the failure of the Option to qualify for any reason as an ISO.</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Vesting Schedule</w:t>
      </w:r>
      <w:r>
        <w:rPr>
          <w:rFonts w:ascii="Times New Roman;serif" w:hAnsi="Times New Roman;serif"/>
          <w:b w:val="false"/>
          <w:color w:val="000000"/>
          <w:sz w:val="22"/>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together with any applicable tax withholding.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Administrator Discretion</w:t>
      </w:r>
      <w:r>
        <w:rPr>
          <w:rFonts w:ascii="Times New Roman;serif" w:hAnsi="Times New Roman;serif"/>
          <w:b w:val="false"/>
          <w:color w:val="000000"/>
          <w:sz w:val="22"/>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Exercise of Option</w:t>
      </w:r>
      <w:r>
        <w:rPr>
          <w:rFonts w:ascii="Times New Roman;serif" w:hAnsi="Times New Roman;serif"/>
          <w:b w:val="false"/>
          <w:color w:val="000000"/>
          <w:sz w:val="22"/>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Right to Exercise</w:t>
      </w:r>
      <w:r>
        <w:rPr>
          <w:rFonts w:ascii="Times New Roman;serif" w:hAnsi="Times New Roman;serif"/>
          <w:b w:val="false"/>
          <w:color w:val="000000"/>
          <w:sz w:val="22"/>
        </w:rPr>
        <w:t>. This Option may be exercised only within the term set out in the Notice of Grant and may be exercised during such term only in accordance with the Plan and the terms of this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Method of Exercise</w:t>
      </w:r>
      <w:r>
        <w:rPr>
          <w:rFonts w:ascii="Times New Roman;serif" w:hAnsi="Times New Roman;serif"/>
          <w:b w:val="false"/>
          <w:color w:val="000000"/>
          <w:sz w:val="22"/>
        </w:rPr>
        <w:t>. This Option is exercisable in a manner and pursuant to such procedures as the Administrator may determine, which will state the election to exercise the Option, the number of Shares in respect of which the Option is being exercised (the “</w:t>
      </w:r>
      <w:r>
        <w:rPr>
          <w:rFonts w:ascii="Times New Roman;serif" w:hAnsi="Times New Roman;serif"/>
          <w:b w:val="false"/>
          <w:color w:val="000000"/>
          <w:sz w:val="22"/>
          <w:u w:val="single"/>
        </w:rPr>
        <w:t>Exercised Shares</w:t>
      </w:r>
      <w:r>
        <w:rPr>
          <w:color w:val="000000"/>
        </w:rPr>
        <w:t>”</w:t>
      </w:r>
      <w:r>
        <w:rPr>
          <w:rFonts w:ascii="Times New Roman;serif" w:hAnsi="Times New Roman;serif"/>
          <w:b w:val="false"/>
          <w:color w:val="000000"/>
          <w:sz w:val="22"/>
        </w:rPr>
        <w:t xml:space="preserve">), and such other representations and agreements as may be required by the Company. The Exercise Notice will be completed by Participant and delivered to the Company. The Exercise Notice will be accompanied by payment of the aggregate Exercise Price as to all Exercised Shares together with any Tax-Related Items.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Option will be deemed to be exercised upon receipt by the Company of such fully executed Exercise Notice accompanied by the aggregate Exercise Price and any Tax-Related Items.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Method of Payment</w:t>
      </w:r>
      <w:r>
        <w:rPr>
          <w:rFonts w:ascii="Times New Roman;serif" w:hAnsi="Times New Roman;serif"/>
          <w:b w:val="false"/>
          <w:color w:val="000000"/>
          <w:sz w:val="22"/>
        </w:rPr>
        <w:t>. Payment of the aggregate Exercise Price will be by any of the following, or a combination thereof, at the election of Participant: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cash;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check or wire transfer;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consideration received by the Company under a broker-assisted (or other) cashless exercise program (whether through a broker or otherwise) implemented by the Company in connection with the Plan; or</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surrender of other Shares which (i) will be valued at their fair market value on the date of exercise, and (ii) must be owned free and clear of any liens, claims, encumbrances, or security interests, if accepting such Shares, in the sole discretion of the Administrator, will not result in any adverse accounting consequences to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2"/>
          <w:u w:val="single"/>
        </w:rPr>
        <w:t>Service Recipient</w:t>
      </w:r>
      <w:r>
        <w:rPr>
          <w:color w:val="000000"/>
        </w:rPr>
        <w:t>”</w:t>
      </w:r>
      <w:r>
        <w:rPr>
          <w:rFonts w:ascii="Times New Roman;serif" w:hAnsi="Times New Roman;serif"/>
          <w:b w:val="false"/>
          <w:color w:val="000000"/>
          <w:sz w:val="22"/>
        </w:rPr>
        <w:t>),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the subsequent sale of Shares acquired pursuant to the exercise of the Option,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 of under-withholding, Participant may be required to pay additional Tax Related Items directly to the applicable tax authority. If the obligation for Tax-Related Items is satisfied by withholding in Shares, for tax purposes, Participant will be deemed to have been issued the full number of Shares subject to the exercise of the Option, notwithstanding that a number of the Shares is held back solely for the purpose of paying the Tax-Related Items.</w:t>
      </w:r>
    </w:p>
    <w:p>
      <w:pPr>
        <w:pStyle w:val="TextBody"/>
        <w:bidi w:val="0"/>
        <w:spacing w:lineRule="auto" w:line="288" w:before="240" w:after="283"/>
        <w:ind w:left="0" w:right="0" w:firstLine="720"/>
        <w:jc w:val="both"/>
        <w:rPr>
          <w:color w:val="000000"/>
        </w:rPr>
      </w:pPr>
      <w:r>
        <w:rPr>
          <w:color w:val="000000"/>
        </w:rPr>
        <w:t>    </w:t>
      </w:r>
      <w:r>
        <w:rPr>
          <w:rFonts w:ascii="Times New Roman;serif" w:hAnsi="Times New Roman;serif"/>
          <w:b w:val="false"/>
          <w:color w:val="000000"/>
          <w:sz w:val="22"/>
        </w:rPr>
        <w:t>The Company may refuse to deliver the Shares or the proceeds of the sale of Shares if Participant fails to comply with Participant’s obligations for Tax-Related Items.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 of Disqualifying Disposition of ISO Shares</w:t>
      </w:r>
      <w:r>
        <w:rPr>
          <w:rFonts w:ascii="Times New Roman;serif" w:hAnsi="Times New Roman;serif"/>
          <w:b w:val="false"/>
          <w:color w:val="000000"/>
          <w:sz w:val="22"/>
        </w:rPr>
        <w:t>. If the Option granted to Participant herein is an ISO, and if Participant sells or otherwise disposes of any of the Shares acquired pursuant to the ISO on or before the later of (i) the date two years after the Date of Grant, or (ii) the date one year after the date of exercise, Participant will immediately notify the Company in writing of such disposition. Participant agrees that Participant may be subject to income tax withholding by the Company on the compensation income recognized by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 Guarantee of Continued Service</w:t>
      </w:r>
      <w:r>
        <w:rPr>
          <w:rFonts w:ascii="Times New Roman;serif" w:hAnsi="Times New Roman;serif"/>
          <w:b w:val="false"/>
          <w:color w:val="000000"/>
          <w:sz w:val="22"/>
        </w:rPr>
        <w:t>. PARTICIPANT ACKNOWLEDGES AND AGREES THAT THE VESTING OF THE OPTION PURSUANT TO THE VESTING SCHEDULE HEREOF IS EARNED ONLY BY CONTINUING AS A SERVICE PROVIDER (SUBJECT TO THE SURVIVOR BENEFIT POLICY)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SERVICE RECIPIENT) TO TERMINATE PARTICIPANT’S RELATIONSHIP AS A SERVICE PROVIDER AT ANY TIME, WITH OR WITHOUT CAUSE.</w:t>
      </w:r>
    </w:p>
    <w:p>
      <w:pPr>
        <w:pStyle w:val="TextBody"/>
        <w:bidi w:val="0"/>
        <w:spacing w:lineRule="auto" w:line="288" w:before="240" w:after="283"/>
        <w:ind w:left="0" w:right="0" w:firstLine="720"/>
        <w:jc w:val="left"/>
        <w:rPr/>
      </w:pPr>
      <w:r>
        <w:rPr>
          <w:rFonts w:ascii="Times New Roman;serif" w:hAnsi="Times New Roman;serif"/>
          <w:b w:val="false"/>
          <w:color w:val="000000"/>
          <w:sz w:val="22"/>
        </w:rPr>
        <w:t>10.</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By accepting the Award, Participant acknowledges, understands and agrees that: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grant of the Option is exceptional, voluntary, and occasional and does not create any contractual or other right to receive future grants of Option, or benefits in lieu of Option, even if Option have been granted in the past;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decisions with respect to future Option or other grants, if any, will be at the sole discretion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Option grant and Participant’s participation in the Plan shall not be interpreted as forming an employment or service contract with the Company, the Service Recipient, or any Parent or Subsidiary;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Participant is voluntarily participating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Option and the Shares subject to the Option, and the income from and value of same, are not intended to replace any pension rights or compensation;</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future value of the underlying Shares is unknown, indeterminable and cannot be predicted with certainty;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if the underlying Shares do not increase in value after the Date of Grant, the Option will have no value;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if Participant exercises the Option and acquires Shares, the value of such Shares may increase or decrease in value, even below the Exercise Price;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claim or entitlement to compensation or damages shall arise from (1) forfeiture of the Option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unless otherwise agreed with the Company, the Option and the Shares subject to the Option, and the income from and value of same, are not granted as consideration for, or in connection with, any service Participant may provide as a director of any Subsidiary;</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Option under the Plan, if any, will terminate as of such date (unless otherwise provided pursuant to the terms and conditions of the Company’s Equity Incentive Plan Survivor Benefit Policy (the “</w:t>
      </w:r>
      <w:r>
        <w:rPr>
          <w:rFonts w:ascii="Times New Roman;serif" w:hAnsi="Times New Roman;serif"/>
          <w:b w:val="false"/>
          <w:color w:val="000000"/>
          <w:sz w:val="22"/>
          <w:u w:val="single"/>
        </w:rPr>
        <w:t>Survivor Benefit Policy</w:t>
      </w:r>
      <w:r>
        <w:rPr>
          <w:color w:val="000000"/>
        </w:rPr>
        <w:t>”</w:t>
      </w:r>
      <w:r>
        <w:rPr>
          <w:rFonts w:ascii="Times New Roman;serif" w:hAnsi="Times New Roman;serif"/>
          <w:b w:val="false"/>
          <w:color w:val="000000"/>
          <w:sz w:val="22"/>
        </w:rPr>
        <w:t xml:space="preserve">) in the case of Participant’s termination as a Service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Provider as a result of the Participant’s death)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Option (including whether Participant may still be considered to be providing services while on a leave of absence);</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if Participant provides services outside the United States: </w:t>
      </w:r>
    </w:p>
    <w:p>
      <w:pPr>
        <w:pStyle w:val="TextBody"/>
        <w:bidi w:val="0"/>
        <w:spacing w:lineRule="auto" w:line="288" w:before="240" w:after="283"/>
        <w:ind w:left="0" w:right="0" w:firstLine="2520"/>
        <w:jc w:val="both"/>
        <w:rPr/>
      </w:pPr>
      <w:r>
        <w:rPr>
          <w:rFonts w:ascii="Times New Roman;serif" w:hAnsi="Times New Roman;serif"/>
          <w:b w:val="false"/>
          <w:color w:val="000000"/>
          <w:sz w:val="22"/>
        </w:rPr>
        <w:t>(i)</w:t>
      </w:r>
      <w:r>
        <w:rPr>
          <w:rFonts w:ascii="Times New Roman;serif" w:hAnsi="Times New Roman;serif"/>
          <w:b w:val="false"/>
          <w:color w:val="000000"/>
          <w:sz w:val="22"/>
        </w:rPr>
        <w:t>the Option and the Shares subject to the Option, and the income from and value of same, are not part of normal or expected compensation for any purposes; and</w:t>
      </w:r>
    </w:p>
    <w:p>
      <w:pPr>
        <w:pStyle w:val="TextBody"/>
        <w:bidi w:val="0"/>
        <w:spacing w:lineRule="auto" w:line="288" w:before="240" w:after="283"/>
        <w:ind w:left="0" w:right="0" w:firstLine="2520"/>
        <w:jc w:val="both"/>
        <w:rPr/>
      </w:pPr>
      <w:r>
        <w:rPr>
          <w:rFonts w:ascii="Times New Roman;serif" w:hAnsi="Times New Roman;serif"/>
          <w:b w:val="false"/>
          <w:color w:val="000000"/>
          <w:sz w:val="22"/>
        </w:rPr>
        <w:t>(ii)</w:t>
      </w:r>
      <w:r>
        <w:rPr>
          <w:rFonts w:ascii="Times New Roman;serif" w:hAnsi="Times New Roman;serif"/>
          <w:b w:val="false"/>
          <w:color w:val="000000"/>
          <w:sz w:val="22"/>
        </w:rPr>
        <w:t>neither the Company, the Service Recipient nor any Parent or Subsidiary shall be liable for any foreign exchange rate fluctuation between Participant’s local currency and the United States Dollar that may affect the value of the Option or of any amounts due to Participant pursuant to the settlement of the Option or the subsequent sale of any Shares acquired upon settlement.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Address for Notices</w:t>
      </w:r>
      <w:r>
        <w:rPr>
          <w:rFonts w:ascii="Times New Roman;serif" w:hAnsi="Times New Roman;serif"/>
          <w:b w:val="false"/>
          <w:color w:val="000000"/>
          <w:sz w:val="22"/>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Non-Transferability of Option</w:t>
      </w:r>
      <w:r>
        <w:rPr>
          <w:rFonts w:ascii="Times New Roman;serif" w:hAnsi="Times New Roman;serif"/>
          <w:b w:val="false"/>
          <w:color w:val="000000"/>
          <w:sz w:val="22"/>
        </w:rPr>
        <w:t>. This Option may not be transferred in any manner otherwise than by will or by the laws of descent or distribution and may be exercised during the lifetime of Participant only by Participant. The terms of the Plan and this Award Agreement (including the exhibits hereto) will be binding upon the executors, administrators, heirs, successors and assigns of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Binding Agreement</w:t>
      </w:r>
      <w:r>
        <w:rPr>
          <w:rFonts w:ascii="Times New Roman;serif" w:hAnsi="Times New Roman;serif"/>
          <w:b w:val="false"/>
          <w:color w:val="000000"/>
          <w:sz w:val="22"/>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Additional Conditions to Issuance of Stock</w:t>
      </w:r>
      <w:r>
        <w:rPr>
          <w:rFonts w:ascii="Times New Roman;serif" w:hAnsi="Times New Roman;serif"/>
          <w:b w:val="false"/>
          <w:color w:val="000000"/>
          <w:sz w:val="22"/>
        </w:rPr>
        <w:t xml:space="preserve">.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the United States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The Company will make all reasonable efforts to meet the requirements of any such U.S. or non-U.S. federal, state, or local law or securities exchange and to obtain any such consent or approval of any such governmental authority or securities exchange. Assuming such compliance, for U.S. federal income tax purposes the Exercised Shares will be considered transferred to Participant on the date the Option is exercised with respect to such Exercised Shares.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Plan Governs</w:t>
      </w:r>
      <w:r>
        <w:rPr>
          <w:rFonts w:ascii="Times New Roman;serif" w:hAnsi="Times New Roman;serif"/>
          <w:b w:val="false"/>
          <w:color w:val="000000"/>
          <w:sz w:val="22"/>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Administrator Authority</w:t>
      </w:r>
      <w:r>
        <w:rPr>
          <w:rFonts w:ascii="Times New Roman;serif" w:hAnsi="Times New Roman;serif"/>
          <w:b w:val="false"/>
          <w:color w:val="000000"/>
          <w:sz w:val="22"/>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Electronic Delivery and Participation</w:t>
      </w:r>
      <w:r>
        <w:rPr>
          <w:rFonts w:ascii="Times New Roman;serif" w:hAnsi="Times New Roman;serif"/>
          <w:b w:val="false"/>
          <w:color w:val="000000"/>
          <w:sz w:val="22"/>
        </w:rPr>
        <w:t>. The Company may, in its sole discretion, decide to deliver any documents related to the Option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Captions</w:t>
      </w:r>
      <w:r>
        <w:rPr>
          <w:rFonts w:ascii="Times New Roman;serif" w:hAnsi="Times New Roman;serif"/>
          <w:b w:val="false"/>
          <w:color w:val="000000"/>
          <w:sz w:val="22"/>
        </w:rPr>
        <w:t>. Captions provided herein are for convenience only and are not to serve as a basis for interpretation or construction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Entire Agreement; Modifications to the Award Agreement</w:t>
      </w:r>
      <w:r>
        <w:rPr>
          <w:rFonts w:ascii="Times New Roman;serif" w:hAnsi="Times New Roman;serif"/>
          <w:b w:val="false"/>
          <w:color w:val="000000"/>
          <w:sz w:val="22"/>
        </w:rPr>
        <w:t>. The Plan, the Survivor Benefit Policy and this Award Agreement (including the exhibits hereto)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Option.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Amendment, Suspension or Termination of the Plan</w:t>
      </w:r>
      <w:r>
        <w:rPr>
          <w:rFonts w:ascii="Times New Roman;serif" w:hAnsi="Times New Roman;serif"/>
          <w:b w:val="false"/>
          <w:color w:val="000000"/>
          <w:sz w:val="22"/>
        </w:rPr>
        <w:t>. By accepting this Award, Participant expressly warrants that he or she has received an Option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Forfeiture or Clawback</w:t>
      </w:r>
      <w:r>
        <w:rPr>
          <w:rFonts w:ascii="Times New Roman;serif" w:hAnsi="Times New Roman;serif"/>
          <w:b w:val="false"/>
          <w:color w:val="000000"/>
          <w:sz w:val="22"/>
        </w:rPr>
        <w:t>. By accepting this Option, Participant agrees that this Option (including any Shares acquired through the Award and proceeds, gains or other economic benefit received by Participant from a subsequent sale of such Shares acquired) will be subject to Section 16(f) of the Plan with respect to forfeiture or clawback.</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Governing Law and Venue</w:t>
      </w:r>
      <w:r>
        <w:rPr>
          <w:rFonts w:ascii="Times New Roman;serif" w:hAnsi="Times New Roman;serif"/>
          <w:b w:val="false"/>
          <w:color w:val="000000"/>
          <w:sz w:val="22"/>
        </w:rPr>
        <w:t>. This Award Agreement will be governed by the provisions of Section 4(g) of the Plan, which selects Delaware law and venue.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Language</w:t>
      </w:r>
      <w:r>
        <w:rPr>
          <w:rFonts w:ascii="Times New Roman;serif" w:hAnsi="Times New Roman;serif"/>
          <w:b w:val="false"/>
          <w:color w:val="000000"/>
          <w:sz w:val="22"/>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28.</w:t>
      </w:r>
      <w:r>
        <w:rPr>
          <w:rFonts w:ascii="Times New Roman;serif" w:hAnsi="Times New Roman;serif"/>
          <w:b w:val="false"/>
          <w:color w:val="000000"/>
          <w:sz w:val="22"/>
          <w:u w:val="single"/>
        </w:rPr>
        <w:t>Addendum</w:t>
      </w:r>
      <w:r>
        <w:rPr>
          <w:rFonts w:ascii="Times New Roman;serif" w:hAnsi="Times New Roman;serif"/>
          <w:b w:val="false"/>
          <w:color w:val="000000"/>
          <w:sz w:val="22"/>
        </w:rPr>
        <w:t>. Notwithstanding any provisions in this Award Agreement, the Option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29.</w:t>
      </w:r>
      <w:r>
        <w:rPr>
          <w:rFonts w:ascii="Times New Roman;serif" w:hAnsi="Times New Roman;serif"/>
          <w:b w:val="false"/>
          <w:color w:val="000000"/>
          <w:sz w:val="22"/>
          <w:u w:val="single"/>
        </w:rPr>
        <w:t>Waiver</w:t>
      </w:r>
      <w:r>
        <w:rPr>
          <w:rFonts w:ascii="Times New Roman;serif" w:hAnsi="Times New Roman;serif"/>
          <w:b w:val="false"/>
          <w:color w:val="000000"/>
          <w:sz w:val="22"/>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30.</w:t>
      </w:r>
      <w:r>
        <w:rPr>
          <w:rFonts w:ascii="Times New Roman;serif" w:hAnsi="Times New Roman;serif"/>
          <w:b w:val="false"/>
          <w:color w:val="000000"/>
          <w:sz w:val="22"/>
          <w:u w:val="single"/>
        </w:rPr>
        <w:t>Insider-Trading/Market-Abuse Laws</w:t>
      </w:r>
      <w:r>
        <w:rPr>
          <w:rFonts w:ascii="Times New Roman;serif" w:hAnsi="Times New Roman;serif"/>
          <w:b w:val="false"/>
          <w:color w:val="000000"/>
          <w:sz w:val="22"/>
        </w:rPr>
        <w:t>. Participant acknowledges that, depending on Participant’s or Participant’s broker’s country or the country in which the Shares are listed, Participant may be subject to insider-trading restrictions and/or market-abuse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before="240" w:after="283"/>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 trading policy. Participant is responsible for complying with any applicable restrictions and should speak to Participant’s personal legal advisor for further details regarding any applicable insider-trading and/or market-abuse laws in Participant’s country.</w:t>
      </w:r>
    </w:p>
    <w:p>
      <w:pPr>
        <w:pStyle w:val="TextBody"/>
        <w:bidi w:val="0"/>
        <w:spacing w:lineRule="auto" w:line="288" w:before="240" w:after="283"/>
        <w:ind w:left="0" w:right="0" w:firstLine="72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ADDENDUM TO THE GLOBAL STOCK OPTION AWARD AGREEMENT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Certain capitalized terms used but not defined in this Addendum have the meanings set forth in the Plan and/or the Award Agreement.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This Addendum contains additional terms and conditions that govern the Option granted under the Plan to a Participant who resides and/or works in one of the countries listed below.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Option is granted, or is considered a resident of another country for local law purposes, the terms and conditions of the Option contained herein may not be applicable to Participant, and the Company shall, in its discretion, determine to what extent the terms and conditions contained herein shall apply to Participant.</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November 2021.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or exercises the Option or sells Shares acquired pursuant thereto.</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Option is granted, or is considered a resident of another country for local law purposes, the information contained herein may not be applicable to Participant in the same manner.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Capital Gains Track Trustee Award</w:t>
      </w:r>
      <w:r>
        <w:rPr>
          <w:rFonts w:ascii="Times New Roman;serif" w:hAnsi="Times New Roman;serif"/>
          <w:b w:val="false"/>
          <w:color w:val="000000"/>
          <w:sz w:val="22"/>
        </w:rPr>
        <w:t>. Capitalized terms used but not defined in these provisions or the Plan or the Award Agreement shall have the meanings ascribed to them in the Sub-Plan to the Plan for Israeli Participants (the “</w:t>
      </w:r>
      <w:r>
        <w:rPr>
          <w:rFonts w:ascii="Times New Roman;serif" w:hAnsi="Times New Roman;serif"/>
          <w:b w:val="false"/>
          <w:color w:val="000000"/>
          <w:sz w:val="22"/>
          <w:u w:val="single"/>
        </w:rPr>
        <w:t>Israel Sub-Plan</w:t>
      </w:r>
      <w:r>
        <w:rPr>
          <w:color w:val="000000"/>
        </w:rPr>
        <w:t>”</w:t>
      </w:r>
      <w:r>
        <w:rPr>
          <w:rFonts w:ascii="Times New Roman;serif" w:hAnsi="Times New Roman;serif"/>
          <w:b w:val="false"/>
          <w:color w:val="000000"/>
          <w:sz w:val="22"/>
        </w:rPr>
        <w:t>).</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By accepting the Option, Participant acknowledges and agrees that the Option is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subsections (b)(2) and (3) thereof, and agrees not to require the Trustee to release the Option or to sell or transfer the Option to Participant or any third party unless permitted to do so by Applicable Laws; (b) the terms and restrictions set forth in the Israel Sub-Plan will apply to the Option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Option qualifies or shall qualify under any particular tax treatment.</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Participant further acknowledges and agrees that the Option and any Shares issued upon exercise thereof shall be deposited with the Trustee, or shall be subject to a supervisory trustee arrangement approved by the ITA for the Trustee, in order to comply with the requirements of the capital gains track under Sections 102(b)(2) and (3) of the ITO. </w:t>
      </w:r>
    </w:p>
    <w:p>
      <w:pPr>
        <w:pStyle w:val="TextBody"/>
        <w:bidi w:val="0"/>
        <w:spacing w:lineRule="auto" w:line="288"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Participant hereby undertakes to release the Trustee from any liability in respect of any action or decision duly taken and bona fide executed in relation to the Plan, the Option or Shares issued thereunder. </w:t>
      </w:r>
    </w:p>
    <w:p>
      <w:pPr>
        <w:pStyle w:val="TextBody"/>
        <w:bidi w:val="0"/>
        <w:spacing w:lineRule="auto" w:line="288" w:before="240" w:after="283"/>
        <w:jc w:val="both"/>
        <w:rPr/>
      </w:pPr>
      <w:r>
        <w:rPr>
          <w:rFonts w:ascii="Times New Roman;serif" w:hAnsi="Times New Roman;serif"/>
          <w:b/>
          <w:color w:val="000000"/>
          <w:sz w:val="22"/>
        </w:rPr>
        <w:t>Data Privacy</w:t>
      </w:r>
      <w:r>
        <w:rPr>
          <w:rFonts w:ascii="Times New Roman;serif" w:hAnsi="Times New Roman;serif"/>
          <w:b w:val="false"/>
          <w:color w:val="000000"/>
          <w:sz w:val="22"/>
        </w:rPr>
        <w:t>. Participant hereby authorizes the Company, the Trustee and their representatives to collect, use and transfer all relevant information regarding Participant and the Option to all Company personnel and agents and or third parties involved in the administration of the Plan and/or in the event of a corporate financing, merger, acquisitions and/or business transfers, including transfers outside of Israel and further transfers thereafter.</w:t>
      </w:r>
    </w:p>
    <w:p>
      <w:pPr>
        <w:pStyle w:val="TextBody"/>
        <w:bidi w:val="0"/>
        <w:spacing w:before="0" w:after="120"/>
        <w:jc w:val="both"/>
        <w:rPr/>
      </w:pPr>
      <w:r>
        <w:rPr/>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lineRule="auto" w:line="288" w:before="0" w:after="240"/>
        <w:jc w:val="both"/>
        <w:rPr/>
      </w:pPr>
      <w:r>
        <w:rPr>
          <w:rFonts w:ascii="Times New Roman;serif" w:hAnsi="Times New Roman;serif"/>
          <w:b/>
          <w:color w:val="000000"/>
          <w:sz w:val="22"/>
          <w:shd w:fill="FFFFFF" w:val="clear"/>
        </w:rPr>
        <w:t>Securities Law Information</w:t>
      </w:r>
      <w:r>
        <w:rPr>
          <w:rFonts w:ascii="Times New Roman;serif" w:hAnsi="Times New Roman;serif"/>
          <w:b w:val="false"/>
          <w:color w:val="000000"/>
          <w:sz w:val="22"/>
          <w:shd w:fill="FFFFFF" w:val="clear"/>
        </w:rPr>
        <w:t>. The Company has obtained an exemption to the prospectus filing requirement from the Israeli Securities Authority. Accordingly, Options will be granted pursuant to an exemption from filing a Plan prospectus granted to the Company by the Israeli Securities Authority. Copies of the Plan and Form S-8 registration statement for the Plan filed with the United States Securities and Exchange Commission are available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98" w:before="79" w:after="283"/>
        <w:ind w:left="0" w:right="0" w:hanging="3"/>
        <w:jc w:val="center"/>
        <w:rPr>
          <w:rFonts w:ascii="Times New Roman;serif" w:hAnsi="Times New Roman;serif"/>
          <w:b w:val="false"/>
          <w:color w:val="000000"/>
          <w:sz w:val="22"/>
        </w:rPr>
      </w:pPr>
      <w:r>
        <w:rPr>
          <w:rFonts w:ascii="Times New Roman;serif" w:hAnsi="Times New Roman;serif"/>
          <w:b w:val="false"/>
          <w:color w:val="000000"/>
          <w:sz w:val="22"/>
        </w:rPr>
        <w:t>PALO ALTO NETWORKS, INC. 2021 EQUITY INCENTIVE PLAN</w:t>
      </w:r>
    </w:p>
    <w:p>
      <w:pPr>
        <w:pStyle w:val="TextBody"/>
        <w:bidi w:val="0"/>
        <w:spacing w:lineRule="auto" w:line="288" w:before="3" w:after="283"/>
        <w:ind w:left="0" w:right="0" w:firstLine="720"/>
        <w:jc w:val="center"/>
        <w:rPr>
          <w:rFonts w:ascii="Times New Roman;serif" w:hAnsi="Times New Roman;serif"/>
          <w:b/>
          <w:color w:val="000000"/>
          <w:sz w:val="22"/>
        </w:rPr>
      </w:pPr>
      <w:r>
        <w:rPr>
          <w:rFonts w:ascii="Times New Roman;serif" w:hAnsi="Times New Roman;serif"/>
          <w:b/>
          <w:color w:val="000000"/>
          <w:sz w:val="22"/>
        </w:rPr>
        <w:t>GLOBAL RESTRICTED STOCK UNIT AWARD AGREEMENT</w:t>
      </w:r>
    </w:p>
    <w:p>
      <w:pPr>
        <w:pStyle w:val="TextBody"/>
        <w:bidi w:val="0"/>
        <w:spacing w:before="5" w:after="283"/>
        <w:ind w:left="0" w:right="0" w:firstLine="720"/>
        <w:jc w:val="both"/>
        <w:rPr/>
      </w:pPr>
      <w:r>
        <w:rPr/>
      </w:r>
    </w:p>
    <w:p>
      <w:pPr>
        <w:pStyle w:val="TextBody"/>
        <w:bidi w:val="0"/>
        <w:spacing w:lineRule="auto" w:line="288" w:before="240" w:after="283"/>
        <w:ind w:left="0" w:right="0" w:firstLine="719"/>
        <w:jc w:val="both"/>
        <w:rPr/>
      </w:pPr>
      <w:r>
        <w:rPr>
          <w:rFonts w:ascii="Times New Roman;serif" w:hAnsi="Times New Roman;serif"/>
          <w:b w:val="false"/>
          <w:color w:val="000000"/>
          <w:sz w:val="22"/>
        </w:rPr>
        <w:t>Unless otherwise defined herein, the terms defined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xml:space="preserve">) will have the same defined meanings in this Global Restricted Stock Unit Award Agreement, the Terms and Conditions of Global Restricted Stock Unit Grant,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and the Addendum,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 all of which are made a part of this document (together, the “</w:t>
      </w:r>
      <w:r>
        <w:rPr>
          <w:rFonts w:ascii="Times New Roman;serif" w:hAnsi="Times New Roman;serif"/>
          <w:b w:val="false"/>
          <w:color w:val="000000"/>
          <w:sz w:val="22"/>
          <w:u w:val="single"/>
        </w:rPr>
        <w:t>Award Agreement</w:t>
      </w:r>
      <w:r>
        <w:rPr>
          <w:color w:val="000000"/>
        </w:rPr>
        <w:t>”</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NOTICE OF RESTRICTED STOCK UNIT GRANT</w:t>
      </w:r>
    </w:p>
    <w:p>
      <w:pPr>
        <w:pStyle w:val="TextBody"/>
        <w:bidi w:val="0"/>
        <w:spacing w:before="240" w:after="283"/>
        <w:ind w:left="0" w:right="0" w:firstLine="720"/>
        <w:jc w:val="both"/>
        <w:rPr/>
      </w:pPr>
      <w:r>
        <w:rPr/>
      </w:r>
    </w:p>
    <w:p>
      <w:pPr>
        <w:pStyle w:val="TextBody"/>
        <w:bidi w:val="0"/>
        <w:spacing w:lineRule="auto" w:line="288" w:before="9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Participant has been granted the right to receive an Award of Restricted Stock Units, subject to the terms and conditions of the Plan and this Award Agreement, as follows:</w:t>
      </w:r>
    </w:p>
    <w:p>
      <w:pPr>
        <w:pStyle w:val="TextBody"/>
        <w:bidi w:val="0"/>
        <w:spacing w:before="90" w:after="283"/>
        <w:ind w:left="0" w:right="0" w:firstLine="719"/>
        <w:jc w:val="both"/>
        <w:rPr/>
      </w:pPr>
      <w:r>
        <w:rPr/>
      </w:r>
    </w:p>
    <w:tbl>
      <w:tblPr>
        <w:tblW w:w="4496" w:type="dxa"/>
        <w:jc w:val="left"/>
        <w:tblInd w:w="0" w:type="dxa"/>
        <w:tblLayout w:type="fixed"/>
        <w:tblCellMar>
          <w:top w:w="28" w:type="dxa"/>
          <w:left w:w="28" w:type="dxa"/>
          <w:bottom w:w="28" w:type="dxa"/>
          <w:right w:w="28" w:type="dxa"/>
        </w:tblCellMar>
      </w:tblPr>
      <w:tblGrid>
        <w:gridCol w:w="1319"/>
        <w:gridCol w:w="1159"/>
        <w:gridCol w:w="1167"/>
        <w:gridCol w:w="249"/>
        <w:gridCol w:w="249"/>
        <w:gridCol w:w="353"/>
      </w:tblGrid>
      <w:tr>
        <w:trPr/>
        <w:tc>
          <w:tcPr>
            <w:tcW w:w="13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Grant Number</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Commencement Date</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Number of Shares Granted</w:t>
            </w:r>
          </w:p>
        </w:tc>
        <w:tc>
          <w:tcPr>
            <w:tcW w:w="85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bl>
    <w:p>
      <w:pPr>
        <w:pStyle w:val="TextBody"/>
        <w:bidi w:val="0"/>
        <w:spacing w:before="240" w:after="283"/>
        <w:ind w:left="0" w:right="0" w:firstLine="719"/>
        <w:jc w:val="both"/>
        <w:rPr/>
      </w:pPr>
      <w:r>
        <w:rPr/>
      </w:r>
    </w:p>
    <w:p>
      <w:pPr>
        <w:pStyle w:val="TextBody"/>
        <w:bidi w:val="0"/>
        <w:spacing w:lineRule="auto" w:line="288" w:before="24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Subject to any acceleration provisions contained in the Plan, the Survivor Benefit Policy (as defined below), or set forth below, the Restricted Stock Units will vest in accordance with the following schedule:</w:t>
      </w:r>
    </w:p>
    <w:p>
      <w:pPr>
        <w:pStyle w:val="TextBody"/>
        <w:bidi w:val="0"/>
        <w:spacing w:before="34" w:after="283"/>
        <w:ind w:left="0" w:right="0" w:firstLine="719"/>
        <w:jc w:val="both"/>
        <w:rPr/>
      </w:pPr>
      <w:r>
        <w:rPr/>
      </w:r>
    </w:p>
    <w:tbl>
      <w:tblPr>
        <w:tblW w:w="3686" w:type="dxa"/>
        <w:jc w:val="left"/>
        <w:tblInd w:w="0" w:type="dxa"/>
        <w:tblLayout w:type="fixed"/>
        <w:tblCellMar>
          <w:top w:w="28" w:type="dxa"/>
          <w:left w:w="28" w:type="dxa"/>
          <w:bottom w:w="28" w:type="dxa"/>
          <w:right w:w="28" w:type="dxa"/>
        </w:tblCellMar>
      </w:tblPr>
      <w:tblGrid>
        <w:gridCol w:w="548"/>
        <w:gridCol w:w="483"/>
        <w:gridCol w:w="484"/>
        <w:gridCol w:w="599"/>
        <w:gridCol w:w="599"/>
        <w:gridCol w:w="601"/>
        <w:gridCol w:w="109"/>
        <w:gridCol w:w="109"/>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319"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Shares </w:t>
            </w:r>
          </w:p>
        </w:tc>
        <w:tc>
          <w:tcPr>
            <w:tcW w:w="1799" w:type="dxa"/>
            <w:gridSpan w:val="3"/>
            <w:tcBorders/>
            <w:tcMar>
              <w:top w:w="0" w:type="dxa"/>
              <w:left w:w="0" w:type="dxa"/>
              <w:bottom w:w="0" w:type="dxa"/>
              <w:right w:w="0" w:type="dxa"/>
            </w:tcMar>
            <w:vAlign w:val="center"/>
          </w:tcPr>
          <w:p>
            <w:pPr>
              <w:pStyle w:val="TableContents"/>
              <w:bidi w:val="0"/>
              <w:spacing w:lineRule="auto" w:line="319" w:before="240" w:after="283"/>
              <w:ind w:left="0" w:right="0" w:firstLine="7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Vest Date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r>
        <w:trPr/>
        <w:tc>
          <w:tcPr>
            <w:tcW w:w="1515"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2171" w:type="dxa"/>
            <w:gridSpan w:val="6"/>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r>
    </w:tbl>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Vesting in each case is subject to Participant continuing to be a Service Provider through the applicable vesting date, as further described in Section 10(j) of the Terms and Conditions of Global Restricted Stock Unit Grant.</w:t>
      </w:r>
    </w:p>
    <w:p>
      <w:pPr>
        <w:pStyle w:val="TextBody"/>
        <w:bidi w:val="0"/>
        <w:spacing w:lineRule="auto" w:line="288" w:before="18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In the event Participant ceases to be a Service Provider for any or no reason before Participant’s Restricted Stock Units fully vest, the unvested portion of the Restricted Stock Units and Participant’s right to acquire any Shares thereunder will immediately terminate.</w:t>
      </w:r>
    </w:p>
    <w:p>
      <w:pPr>
        <w:pStyle w:val="TextBody"/>
        <w:bidi w:val="0"/>
        <w:spacing w:lineRule="auto" w:line="288" w:before="230" w:after="283"/>
        <w:ind w:left="0" w:right="0" w:firstLine="719"/>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acceptance of this Award Agreement (whether explicitly accepted electronically or otherwise or deemed accepted under the following paragraph), Participant agrees that: (a) this Award of Restricted Stock Units is granted under and governed by the terms and conditions of the Plan and this Award Agreement; (b) Participant has reviewed the Plan and this Award Agreement in their entirety, has had an opportunity to obtain the advice of counsel prior to accepting this Award Agreement and fully understands all provisions of the Plan and this Award Agreement; (c) Participant expressly acknowledges the information provided in the Addendum related to the collection, processing and use of Participant’s personal data by the Company and its Subsidiaries and the transfer of personal data to the recipients mentioned in the Addendum; and (d) Participant hereby agrees to accept as binding, conclusive and final all decisions or interpretations of the Administrator upon any questions relating to the Plan and this Award Agreement. </w:t>
      </w:r>
    </w:p>
    <w:p>
      <w:pPr>
        <w:pStyle w:val="TextBody"/>
        <w:bidi w:val="0"/>
        <w:spacing w:lineRule="auto" w:line="288" w:before="230" w:after="283"/>
        <w:ind w:left="0" w:right="0" w:firstLine="719"/>
        <w:jc w:val="both"/>
        <w:rPr>
          <w:rFonts w:ascii="Times New Roman;serif" w:hAnsi="Times New Roman;serif"/>
          <w:b/>
          <w:color w:val="000000"/>
          <w:sz w:val="22"/>
        </w:rPr>
      </w:pPr>
      <w:r>
        <w:rPr>
          <w:rFonts w:ascii="Times New Roman;serif" w:hAnsi="Times New Roman;serif"/>
          <w:b/>
          <w:color w:val="000000"/>
          <w:sz w:val="22"/>
        </w:rPr>
        <w:t>If Participant does not accept or decline this Award of Restricted Stock Units by the earliest to occur of (1) the 30th calendar day following the Date of Grant, (2) the first scheduled vesting date of the Restricted Stock Units, and (3) such other date that is communicated to Participant by the Company at the time of grant, this Award of Restricted Stock Units will be deemed to have accepted by the Participant, including acceptance of the provisions in the preceding paragraph. To decline this Award of Restricted Stock Units, Participant must notify equity@paloaltonetworks.com before the earliest to occur of the dates described in clauses (1) through (3) above. If Participant declines this Award of Restricted Stock Units, the Restricted Stock Units will be cancelled and no benefits from the Restricted Stock Units nor any compensation or benefits in lieu of the Restricted Stock Units will be provided to Participant.</w:t>
      </w:r>
    </w:p>
    <w:tbl>
      <w:tblPr>
        <w:tblW w:w="5951" w:type="dxa"/>
        <w:jc w:val="left"/>
        <w:tblInd w:w="0" w:type="dxa"/>
        <w:tblLayout w:type="fixed"/>
        <w:tblCellMar>
          <w:top w:w="28" w:type="dxa"/>
          <w:left w:w="28" w:type="dxa"/>
          <w:bottom w:w="28" w:type="dxa"/>
          <w:right w:w="28" w:type="dxa"/>
        </w:tblCellMar>
      </w:tblPr>
      <w:tblGrid>
        <w:gridCol w:w="853"/>
        <w:gridCol w:w="750"/>
        <w:gridCol w:w="751"/>
        <w:gridCol w:w="109"/>
        <w:gridCol w:w="109"/>
        <w:gridCol w:w="109"/>
        <w:gridCol w:w="957"/>
        <w:gridCol w:w="957"/>
        <w:gridCol w:w="1356"/>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Grant Acceptance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27660"/>
                <wp:effectExtent l="0" t="0" r="0" b="0"/>
                <wp:wrapNone/>
                <wp:docPr id="112" name="Frame1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before="240" w:after="283"/>
        <w:ind w:left="0" w:right="0" w:firstLine="720"/>
        <w:jc w:val="both"/>
        <w:rPr/>
      </w:pPr>
      <w:r>
        <w:rPr/>
      </w:r>
    </w:p>
    <w:p>
      <w:pPr>
        <w:pStyle w:val="TextBody"/>
        <w:bidi w:val="0"/>
        <w:spacing w:lineRule="auto" w:line="288" w:before="79"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TERMS AND CONDITIONS OF GLOBAL RESTRICTED STOCK UNIT GRANT</w:t>
      </w:r>
    </w:p>
    <w:p>
      <w:pPr>
        <w:pStyle w:val="TextBody"/>
        <w:bidi w:val="0"/>
        <w:spacing w:before="5"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w:t>
      </w:r>
      <w:r>
        <w:rPr>
          <w:rFonts w:ascii="Times New Roman;serif" w:hAnsi="Times New Roman;serif"/>
          <w:b w:val="false"/>
          <w:color w:val="000000"/>
          <w:sz w:val="22"/>
          <w:u w:val="single"/>
        </w:rPr>
        <w:t>Grant</w:t>
      </w:r>
      <w:r>
        <w:rPr>
          <w:rFonts w:ascii="Times New Roman;serif" w:hAnsi="Times New Roman;serif"/>
          <w:b w:val="false"/>
          <w:color w:val="000000"/>
          <w:sz w:val="22"/>
        </w:rPr>
        <w:t>. The Company hereby grants to the individual named in the Notice of Restricted Stock Unit Grant (the “</w:t>
      </w:r>
      <w:r>
        <w:rPr>
          <w:rFonts w:ascii="Times New Roman;serif" w:hAnsi="Times New Roman;serif"/>
          <w:b w:val="false"/>
          <w:color w:val="000000"/>
          <w:sz w:val="22"/>
          <w:u w:val="single"/>
        </w:rPr>
        <w:t>Notice of Grant</w:t>
      </w:r>
      <w:r>
        <w:rPr>
          <w:color w:val="000000"/>
        </w:rPr>
        <w:t>”</w:t>
      </w:r>
      <w:r>
        <w:rPr>
          <w:rFonts w:ascii="Times New Roman;serif" w:hAnsi="Times New Roman;serif"/>
          <w:b w:val="false"/>
          <w:color w:val="000000"/>
          <w:sz w:val="22"/>
        </w:rPr>
        <w:t>) attached as Part I of this Award Agreement (the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under the Plan an Award of Restricted Stock Units,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2"/>
          <w:u w:val="single"/>
        </w:rPr>
        <w:t>Company’s Obligation to Pay</w:t>
      </w:r>
      <w:r>
        <w:rPr>
          <w:rFonts w:ascii="Times New Roman;serif" w:hAnsi="Times New Roman;serif"/>
          <w:b w:val="false"/>
          <w:color w:val="000000"/>
          <w:sz w:val="22"/>
        </w:rPr>
        <w:t>. Each Restricted Stock Unit represents the right to receive a Share on the date it vests. Unless and until the Restricted Stock Units will have vested in the manner set forth in Section 3, Participant will have no right to the payment of any such Restricted Stock Units. Prior to the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withholding obligations for Tax-Related Items. Subject to the provisions of Section 4, such vested Restricted Stock Units shall be paid in whole Shares as soon as practicable after vesting, but in each such case within the period 60 days following the vesting date. In no event will Participant be permitted, directly or indirectly, to specify the taxable year of the payment of any Restricted Stock Units payable under this Award Agreement.</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2"/>
          <w:u w:val="single"/>
        </w:rPr>
        <w:t>Vesting Schedule</w:t>
      </w:r>
      <w:r>
        <w:rPr>
          <w:rFonts w:ascii="Times New Roman;serif" w:hAnsi="Times New Roman;serif"/>
          <w:b w:val="false"/>
          <w:color w:val="000000"/>
          <w:sz w:val="22"/>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10(j).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4.</w:t>
      </w:r>
      <w:r>
        <w:rPr>
          <w:rFonts w:ascii="Times New Roman;serif" w:hAnsi="Times New Roman;serif"/>
          <w:b w:val="false"/>
          <w:color w:val="000000"/>
          <w:sz w:val="22"/>
          <w:u w:val="single"/>
        </w:rPr>
        <w:t>Administrator Discretion</w:t>
      </w:r>
      <w:r>
        <w:rPr>
          <w:rFonts w:ascii="Times New Roman;serif" w:hAnsi="Times New Roman;serif"/>
          <w:b w:val="false"/>
          <w:color w:val="000000"/>
          <w:sz w:val="22"/>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in settlement of any Restricted Stock Units vesting pursuant to this Section 4 shall in all cases be paid at a time or in a manner that is exempt from, or complies with, Section 409A.</w:t>
      </w:r>
    </w:p>
    <w:p>
      <w:pPr>
        <w:pStyle w:val="TextBody"/>
        <w:bidi w:val="0"/>
        <w:spacing w:before="10" w:after="283"/>
        <w:ind w:left="0" w:right="0" w:firstLine="720"/>
        <w:jc w:val="both"/>
        <w:rPr/>
      </w:pPr>
      <w:r>
        <w:rPr/>
      </w:r>
    </w:p>
    <w:p>
      <w:pPr>
        <w:pStyle w:val="TextBody"/>
        <w:bidi w:val="0"/>
        <w:spacing w:lineRule="auto" w:line="288" w:before="74"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w:t>
      </w:r>
    </w:p>
    <w:p>
      <w:pPr>
        <w:pStyle w:val="TextBody"/>
        <w:bidi w:val="0"/>
        <w:spacing w:lineRule="auto" w:line="288" w:before="74" w:after="283"/>
        <w:jc w:val="both"/>
        <w:rPr/>
      </w:pPr>
      <w:r>
        <w:rPr>
          <w:color w:val="000000"/>
        </w:rPr>
        <w:t>“</w:t>
      </w:r>
      <w:r>
        <w:rPr>
          <w:rFonts w:ascii="Times New Roman;serif" w:hAnsi="Times New Roman;serif"/>
          <w:b w:val="false"/>
          <w:color w:val="000000"/>
          <w:sz w:val="22"/>
        </w:rPr>
        <w:t>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that it and all payments and benefits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U.S. Internal Revenue Service guidance thereunder, as each may be amended from time to time.</w:t>
      </w:r>
      <w:r>
        <w:rPr>
          <w:rFonts w:ascii="Times New Roman;serif" w:hAnsi="Times New Roman;serif"/>
          <w:b w:val="false"/>
          <w:color w:val="000000"/>
          <w:sz w:val="14"/>
        </w:rPr>
        <w:t>1</w:t>
      </w:r>
    </w:p>
    <w:p>
      <w:pPr>
        <w:pStyle w:val="TextBody"/>
        <w:bidi w:val="0"/>
        <w:spacing w:lineRule="auto" w:line="288" w:before="240" w:after="283"/>
        <w:ind w:left="0" w:right="0" w:firstLine="719"/>
        <w:jc w:val="both"/>
        <w:rPr/>
      </w:pPr>
      <w:r>
        <w:rPr>
          <w:rFonts w:ascii="Times New Roman;serif" w:hAnsi="Times New Roman;serif"/>
          <w:b w:val="false"/>
          <w:color w:val="000000"/>
          <w:sz w:val="24"/>
        </w:rPr>
        <w:t>5.</w:t>
      </w:r>
      <w:r>
        <w:rPr>
          <w:rFonts w:ascii="Times New Roman;serif" w:hAnsi="Times New Roman;serif"/>
          <w:b w:val="false"/>
          <w:color w:val="000000"/>
          <w:sz w:val="22"/>
          <w:u w:val="single"/>
        </w:rPr>
        <w:t>Forfeiture upon Termination of Status as a Service Provider</w:t>
      </w:r>
      <w:r>
        <w:rPr>
          <w:rFonts w:ascii="Times New Roman;serif" w:hAnsi="Times New Roman;serif"/>
          <w:b w:val="false"/>
          <w:color w:val="000000"/>
          <w:sz w:val="22"/>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unless otherwise provided pursuant to the terms and conditions of the Company’s Equity Incentive Plan Survivor Benefit Policy (the “</w:t>
      </w:r>
      <w:r>
        <w:rPr>
          <w:rFonts w:ascii="Times New Roman;serif" w:hAnsi="Times New Roman;serif"/>
          <w:b w:val="false"/>
          <w:color w:val="000000"/>
          <w:sz w:val="22"/>
          <w:u w:val="single"/>
        </w:rPr>
        <w:t>Survivor Benefit Policy</w:t>
      </w:r>
      <w:r>
        <w:rPr>
          <w:color w:val="000000"/>
        </w:rPr>
        <w:t>”</w:t>
      </w:r>
      <w:r>
        <w:rPr>
          <w:rFonts w:ascii="Times New Roman;serif" w:hAnsi="Times New Roman;serif"/>
          <w:b w:val="false"/>
          <w:color w:val="000000"/>
          <w:sz w:val="22"/>
        </w:rPr>
        <w:t>) in the case of the Participant’s termination as a Service Provider as a result of the Participant’s death.</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6.</w:t>
      </w:r>
      <w:r>
        <w:rPr>
          <w:rFonts w:ascii="Times New Roman;serif" w:hAnsi="Times New Roman;serif"/>
          <w:b w:val="false"/>
          <w:color w:val="000000"/>
          <w:sz w:val="22"/>
          <w:u w:val="single"/>
        </w:rPr>
        <w:t>Death of Participant</w:t>
      </w:r>
      <w:r>
        <w:rPr>
          <w:rFonts w:ascii="Times New Roman;serif" w:hAnsi="Times New Roman;serif"/>
          <w:b w:val="false"/>
          <w:color w:val="000000"/>
          <w:sz w:val="22"/>
        </w:rPr>
        <w:t>. Any distribution or delivery to be made to Participant under this Award Agreement will, if Participant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2"/>
          <w:u w:val="single"/>
        </w:rPr>
        <w:t>Responsibility for Taxes</w:t>
      </w:r>
      <w:r>
        <w:rPr>
          <w:rFonts w:ascii="Times New Roman;serif" w:hAnsi="Times New Roman;serif"/>
          <w:b w:val="false"/>
          <w:color w:val="000000"/>
          <w:sz w:val="22"/>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2"/>
          <w:u w:val="single"/>
        </w:rPr>
        <w:t>Service Recipient</w:t>
      </w:r>
      <w:r>
        <w:rPr>
          <w:color w:val="000000"/>
        </w:rPr>
        <w:t>”</w:t>
      </w:r>
      <w:r>
        <w:rPr>
          <w:rFonts w:ascii="Times New Roman;serif" w:hAnsi="Times New Roman;serif"/>
          <w:b w:val="false"/>
          <w:color w:val="000000"/>
          <w:sz w:val="22"/>
        </w:rPr>
        <w:t xml:space="preserve">),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dividend equivalents;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acknowledges that the Company and/or the Service Recipient (or former service recipient, as applicable) may be required to withhold or account for Tax-Related Items in more than one jurisdiction.</w:t>
      </w:r>
    </w:p>
    <w:p>
      <w:pPr>
        <w:pStyle w:val="TextBody"/>
        <w:bidi w:val="0"/>
        <w:spacing w:lineRule="auto" w:line="288" w:before="9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event of under-withholding, Participant may be required to pay additional Tax-Related Items directly to the applicable tax authority. If the obligation for Tax-Related Items is satisfied by withholding in Shares, for tax purposes, Participant will be deemed to have been issued the full number of Shares subject to the vested Restricted Stock Units, notwithstanding that a number of the Shares is held back solely for the purpose of paying the Tax-Related Items.</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If Participant fails to make satisfactory arrangements for the payment of any Tax- Related Items hereunder at the time any applicable Restricted Stock Units otherwise are scheduled to vest pursuant to Sections 3 or 4 or Tax-Related Items related to Restricted Stock Units otherwise are due, Participant will permanently forfeit such Restricted Stock Units and any right to receive Shares thereunder and the Restricted Stock Units will be returned to the Company at no cost to the Company.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8.</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9.</w:t>
      </w:r>
      <w:r>
        <w:rPr>
          <w:rFonts w:ascii="Times New Roman;serif" w:hAnsi="Times New Roman;serif"/>
          <w:b w:val="false"/>
          <w:color w:val="000000"/>
          <w:sz w:val="22"/>
          <w:u w:val="single"/>
        </w:rPr>
        <w:t>No Guarantee of Continued Service</w:t>
      </w:r>
      <w:r>
        <w:rPr>
          <w:rFonts w:ascii="Times New Roman;serif" w:hAnsi="Times New Roman;serif"/>
          <w:b w:val="false"/>
          <w:color w:val="000000"/>
          <w:sz w:val="22"/>
        </w:rPr>
        <w:t xml:space="preserve">. PARTICIPANT ACKNOWLEDGES AND AGREES THAT THE VESTING OF THE RESTRICTED STOCK UNITS PURSUANT TO THE VESTING SCHEDULE HEREOF IS EARNED ONLY BY CONTINUING AS A SERVICE PROVIDER (SUBJECT TO THE SURVIVOR BENEFIT POLICY) AND NOT THROUGH THE ACT OF BEING HIRED, BEING GRANTED THIS AWARD OF RESTRICTED STOCK UNITS OR ACQUIRING SHARES HEREUNDER. PARTICIPANT FURTHER ACKNOWLEDGES AND AGREES THAT THIS AWARD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AT ANY TIME, WITH OR WITHOUT CAUSE.</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10.</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By accepting the Award, Participant acknowledges, understands and agrees that:</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10"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(b)all decisions with respect to future Restricted Stock Units or other grants, if any, will be at the sole discretion of the Company;</w:t>
      </w:r>
    </w:p>
    <w:p>
      <w:pPr>
        <w:pStyle w:val="TextBody"/>
        <w:bidi w:val="0"/>
        <w:spacing w:before="9"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(c)the Restricted Stock Unit grant and Participant’s participation in the Plan shall not be interpreted as forming an employment or service contract with the Company, the Service Recipient, or any Parent or Subsidiary;</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(d)Participant is voluntarily participating in the Plan;</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(e)the Restricted Stock Units and the Shares subject to the Restricted Stock Units, and the income from and value of same, are not intended to replace any pension rights or compensation;</w:t>
      </w:r>
    </w:p>
    <w:p>
      <w:pPr>
        <w:pStyle w:val="TextBody"/>
        <w:bidi w:val="0"/>
        <w:spacing w:before="240" w:after="283"/>
        <w:ind w:left="0" w:right="0" w:firstLine="720"/>
        <w:jc w:val="both"/>
        <w:rPr/>
      </w:pPr>
      <w:r>
        <w:rPr/>
      </w:r>
    </w:p>
    <w:p>
      <w:pPr>
        <w:pStyle w:val="TextBody"/>
        <w:bidi w:val="0"/>
        <w:spacing w:lineRule="auto" w:line="288" w:before="9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(f)the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before="10" w:after="283"/>
        <w:ind w:left="0" w:right="0" w:firstLine="720"/>
        <w:jc w:val="both"/>
        <w:rPr/>
      </w:pPr>
      <w:r>
        <w:rPr/>
      </w:r>
    </w:p>
    <w:p>
      <w:pPr>
        <w:pStyle w:val="TextBody"/>
        <w:bidi w:val="0"/>
        <w:spacing w:lineRule="auto" w:line="288" w:before="1" w:after="24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(g)the future value of the underlying Shares is unknown, indeterminable and cannot be predicted with certainty;</w:t>
      </w:r>
    </w:p>
    <w:p>
      <w:pPr>
        <w:pStyle w:val="TextBody"/>
        <w:bidi w:val="0"/>
        <w:spacing w:lineRule="auto" w:line="288" w:before="74"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(h)no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(i)unless otherwise agreed with the Company, the Restricted Stock Units and the Shares subject to the Restricted Stock Units, and the income from and value of same, are not granted as consideration for, or in connection with, any service Participant may provide as a director of any Subsidiary;</w:t>
      </w:r>
    </w:p>
    <w:p>
      <w:pPr>
        <w:pStyle w:val="TextBody"/>
        <w:bidi w:val="0"/>
        <w:spacing w:before="10" w:after="283"/>
        <w:ind w:left="0" w:right="0" w:firstLine="720"/>
        <w:jc w:val="both"/>
        <w:rPr/>
      </w:pPr>
      <w:r>
        <w:rPr/>
      </w:r>
    </w:p>
    <w:p>
      <w:pPr>
        <w:pStyle w:val="TextBody"/>
        <w:bidi w:val="0"/>
        <w:spacing w:lineRule="auto" w:line="288" w:before="0" w:after="0"/>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(j)for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Restricted Stock Unit grant (including whether Participant may still be considered to be providing services while on a leave of absence);</w:t>
      </w:r>
    </w:p>
    <w:p>
      <w:pPr>
        <w:pStyle w:val="TextBody"/>
        <w:bidi w:val="0"/>
        <w:spacing w:before="10" w:after="283"/>
        <w:ind w:left="0" w:right="0" w:firstLine="720"/>
        <w:jc w:val="both"/>
        <w:rPr/>
      </w:pPr>
      <w:r>
        <w:rPr/>
      </w:r>
    </w:p>
    <w:p>
      <w:pPr>
        <w:pStyle w:val="TextBody"/>
        <w:bidi w:val="0"/>
        <w:spacing w:lineRule="auto" w:line="288" w:before="1"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(k)the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rFonts w:ascii="Times New Roman;serif" w:hAnsi="Times New Roman;serif"/>
          <w:b w:val="false"/>
          <w:color w:val="000000"/>
          <w:sz w:val="22"/>
        </w:rPr>
      </w:pPr>
      <w:r>
        <w:rPr>
          <w:rFonts w:ascii="Times New Roman;serif" w:hAnsi="Times New Roman;serif"/>
          <w:b w:val="false"/>
          <w:color w:val="000000"/>
          <w:sz w:val="22"/>
        </w:rPr>
        <w:t>(l)if Participant provides services outside the United States:</w:t>
      </w:r>
    </w:p>
    <w:p>
      <w:pPr>
        <w:pStyle w:val="TextBody"/>
        <w:bidi w:val="0"/>
        <w:spacing w:before="10" w:after="283"/>
        <w:ind w:left="0" w:right="0" w:firstLine="720"/>
        <w:jc w:val="both"/>
        <w:rPr/>
      </w:pPr>
      <w:r>
        <w:rPr/>
      </w:r>
    </w:p>
    <w:p>
      <w:pPr>
        <w:pStyle w:val="TextBody"/>
        <w:bidi w:val="0"/>
        <w:spacing w:lineRule="auto" w:line="288" w:before="0" w:after="0"/>
        <w:ind w:left="0" w:right="0" w:firstLine="2159"/>
        <w:jc w:val="both"/>
        <w:rPr>
          <w:rFonts w:ascii="Times New Roman;serif" w:hAnsi="Times New Roman;serif"/>
          <w:b w:val="false"/>
          <w:color w:val="000000"/>
          <w:sz w:val="22"/>
        </w:rPr>
      </w:pPr>
      <w:r>
        <w:rPr>
          <w:rFonts w:ascii="Times New Roman;serif" w:hAnsi="Times New Roman;serif"/>
          <w:b w:val="false"/>
          <w:color w:val="000000"/>
          <w:sz w:val="22"/>
        </w:rPr>
        <w:t>(i)the Restricted Stock Units and the Shares subject to the Restricted Stock Units, and the income from and value of same, are not part of normal or expected compensation for any purposes; and</w:t>
      </w:r>
    </w:p>
    <w:p>
      <w:pPr>
        <w:pStyle w:val="TextBody"/>
        <w:bidi w:val="0"/>
        <w:spacing w:before="10" w:after="283"/>
        <w:ind w:left="0" w:right="0" w:firstLine="720"/>
        <w:jc w:val="both"/>
        <w:rPr/>
      </w:pPr>
      <w:r>
        <w:rPr/>
      </w:r>
    </w:p>
    <w:p>
      <w:pPr>
        <w:pStyle w:val="TextBody"/>
        <w:bidi w:val="0"/>
        <w:spacing w:lineRule="auto" w:line="288" w:before="0" w:after="0"/>
        <w:ind w:left="0" w:right="0" w:firstLine="2159"/>
        <w:jc w:val="both"/>
        <w:rPr>
          <w:rFonts w:ascii="Times New Roman;serif" w:hAnsi="Times New Roman;serif"/>
          <w:b w:val="false"/>
          <w:color w:val="000000"/>
          <w:sz w:val="22"/>
        </w:rPr>
      </w:pPr>
      <w:r>
        <w:rPr>
          <w:rFonts w:ascii="Times New Roman;serif" w:hAnsi="Times New Roman;serif"/>
          <w:b w:val="false"/>
          <w:color w:val="000000"/>
          <w:sz w:val="22"/>
        </w:rPr>
        <w:t>(ii)neither the Company, the Service Recipient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11.</w:t>
      </w:r>
      <w:r>
        <w:rPr>
          <w:rFonts w:ascii="Times New Roman;serif" w:hAnsi="Times New Roman;serif"/>
          <w:b w:val="false"/>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12.</w:t>
      </w:r>
      <w:r>
        <w:rPr>
          <w:rFonts w:ascii="Times New Roman;serif" w:hAnsi="Times New Roman;serif"/>
          <w:b w:val="false"/>
          <w:color w:val="000000"/>
          <w:sz w:val="22"/>
          <w:u w:val="single"/>
        </w:rPr>
        <w:t>Address for Notices</w:t>
      </w:r>
      <w:r>
        <w:rPr>
          <w:rFonts w:ascii="Times New Roman;serif" w:hAnsi="Times New Roman;serif"/>
          <w:b w:val="false"/>
          <w:color w:val="000000"/>
          <w:sz w:val="22"/>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2"/>
          <w:u w:val="single"/>
        </w:rPr>
        <w:t>Grant is Not Transferable</w:t>
      </w:r>
      <w:r>
        <w:rPr>
          <w:rFonts w:ascii="Times New Roman;serif" w:hAnsi="Times New Roman;serif"/>
          <w:b w:val="false"/>
          <w:color w:val="000000"/>
          <w:sz w:val="22"/>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14.</w:t>
      </w:r>
      <w:r>
        <w:rPr>
          <w:rFonts w:ascii="Times New Roman;serif" w:hAnsi="Times New Roman;serif"/>
          <w:b w:val="false"/>
          <w:color w:val="000000"/>
          <w:sz w:val="22"/>
          <w:u w:val="single"/>
        </w:rPr>
        <w:t>Binding Agreement</w:t>
      </w:r>
      <w:r>
        <w:rPr>
          <w:rFonts w:ascii="Times New Roman;serif" w:hAnsi="Times New Roman;serif"/>
          <w:b w:val="false"/>
          <w:color w:val="000000"/>
          <w:sz w:val="22"/>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15.</w:t>
      </w:r>
      <w:r>
        <w:rPr>
          <w:rFonts w:ascii="Times New Roman;serif" w:hAnsi="Times New Roman;serif"/>
          <w:b w:val="false"/>
          <w:color w:val="000000"/>
          <w:sz w:val="22"/>
          <w:u w:val="single"/>
        </w:rPr>
        <w:t>Additional Conditions to Issuance of Stock</w:t>
      </w:r>
      <w:r>
        <w:rPr>
          <w:rFonts w:ascii="Times New Roman;serif" w:hAnsi="Times New Roman;serif"/>
          <w:b w:val="false"/>
          <w:color w:val="000000"/>
          <w:sz w:val="22"/>
        </w:rPr>
        <w:t>.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any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Where the Company determines that the delivery of any Shares in settlement of any vested Restricted Stock Units will violate U.S.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U.S. or non-U.S. federal, state, or local law or securities exchange and to obtain any such consent or approval of any such governmental authority or securities exchange.</w:t>
      </w:r>
    </w:p>
    <w:p>
      <w:pPr>
        <w:pStyle w:val="TextBody"/>
        <w:bidi w:val="0"/>
        <w:spacing w:before="11"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16.</w:t>
      </w:r>
      <w:r>
        <w:rPr>
          <w:rFonts w:ascii="Times New Roman;serif" w:hAnsi="Times New Roman;serif"/>
          <w:b w:val="false"/>
          <w:color w:val="000000"/>
          <w:sz w:val="22"/>
          <w:u w:val="single"/>
        </w:rPr>
        <w:t>Tax Consequences</w:t>
      </w:r>
      <w:r>
        <w:rPr>
          <w:rFonts w:ascii="Times New Roman;serif" w:hAnsi="Times New Roman;serif"/>
          <w:b w:val="false"/>
          <w:color w:val="000000"/>
          <w:sz w:val="22"/>
        </w:rPr>
        <w:t>. Participant has reviewed with its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17.</w:t>
      </w:r>
      <w:r>
        <w:rPr>
          <w:rFonts w:ascii="Times New Roman;serif" w:hAnsi="Times New Roman;serif"/>
          <w:b w:val="false"/>
          <w:color w:val="000000"/>
          <w:sz w:val="22"/>
          <w:u w:val="single"/>
        </w:rPr>
        <w:t>Plan Governs</w:t>
      </w:r>
      <w:r>
        <w:rPr>
          <w:rFonts w:ascii="Times New Roman;serif" w:hAnsi="Times New Roman;serif"/>
          <w:b w:val="false"/>
          <w:color w:val="000000"/>
          <w:sz w:val="22"/>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18.</w:t>
      </w:r>
      <w:r>
        <w:rPr>
          <w:rFonts w:ascii="Times New Roman;serif" w:hAnsi="Times New Roman;serif"/>
          <w:b w:val="false"/>
          <w:color w:val="000000"/>
          <w:sz w:val="22"/>
          <w:u w:val="single"/>
        </w:rPr>
        <w:t>Administrator Authority</w:t>
      </w:r>
      <w:r>
        <w:rPr>
          <w:rFonts w:ascii="Times New Roman;serif" w:hAnsi="Times New Roman;serif"/>
          <w:b w:val="false"/>
          <w:color w:val="000000"/>
          <w:sz w:val="22"/>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19.</w:t>
      </w:r>
      <w:r>
        <w:rPr>
          <w:rFonts w:ascii="Times New Roman;serif" w:hAnsi="Times New Roman;serif"/>
          <w:b w:val="false"/>
          <w:color w:val="000000"/>
          <w:sz w:val="22"/>
          <w:u w:val="single"/>
        </w:rPr>
        <w:t>Electronic Delivery and Participation</w:t>
      </w:r>
      <w:r>
        <w:rPr>
          <w:rFonts w:ascii="Times New Roman;serif" w:hAnsi="Times New Roman;serif"/>
          <w:b w:val="false"/>
          <w:color w:val="000000"/>
          <w:sz w:val="22"/>
        </w:rPr>
        <w:t xml:space="preserve">. The Company may, in its sole discretion, decide to deliver any documents related to the Restricted Stock Units or future Awards that may be granted under the Plan by electronic means or request Participant’s consent to participate in the Plan by electronic means. Participant hereby consents to receive such documents by electronic delivery and agrees to participate in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Plan through any on-line or electronic system established and maintained by the Company or a third party designated by the Company.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20.</w:t>
      </w:r>
      <w:r>
        <w:rPr>
          <w:rFonts w:ascii="Times New Roman;serif" w:hAnsi="Times New Roman;serif"/>
          <w:b w:val="false"/>
          <w:color w:val="000000"/>
          <w:sz w:val="22"/>
          <w:u w:val="single"/>
        </w:rPr>
        <w:t>Captions</w:t>
      </w:r>
      <w:r>
        <w:rPr>
          <w:rFonts w:ascii="Times New Roman;serif" w:hAnsi="Times New Roman;serif"/>
          <w:b w:val="false"/>
          <w:color w:val="000000"/>
          <w:sz w:val="22"/>
        </w:rPr>
        <w:t>. Captions provided herein are for convenience only and are not to serve as a basis for interpretation or construction of this Award Agreement.</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21.</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9"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22.</w:t>
      </w:r>
      <w:r>
        <w:rPr>
          <w:rFonts w:ascii="Times New Roman;serif" w:hAnsi="Times New Roman;serif"/>
          <w:b w:val="false"/>
          <w:color w:val="000000"/>
          <w:sz w:val="22"/>
          <w:u w:val="single"/>
        </w:rPr>
        <w:t>Entire Agreement; Modifications to the Award Agreement</w:t>
      </w:r>
      <w:r>
        <w:rPr>
          <w:rFonts w:ascii="Times New Roman;serif" w:hAnsi="Times New Roman;serif"/>
          <w:b w:val="false"/>
          <w:color w:val="000000"/>
          <w:sz w:val="22"/>
        </w:rPr>
        <w:t>. The Plan, the Survivor Benefit Policy and this Award Agreement (including the exhibits hereto)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23.</w:t>
      </w:r>
      <w:r>
        <w:rPr>
          <w:rFonts w:ascii="Times New Roman;serif" w:hAnsi="Times New Roman;serif"/>
          <w:b w:val="false"/>
          <w:color w:val="000000"/>
          <w:sz w:val="22"/>
          <w:u w:val="single"/>
        </w:rPr>
        <w:t>Amendment, Suspension or Termination of the Plan</w:t>
      </w:r>
      <w:r>
        <w:rPr>
          <w:rFonts w:ascii="Times New Roman;serif" w:hAnsi="Times New Roman;serif"/>
          <w:b w:val="false"/>
          <w:color w:val="000000"/>
          <w:sz w:val="22"/>
        </w:rPr>
        <w:t>. By accepting this Award, Participant expressly warrants that he or she has received an Award of Restricted Stock Units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24.</w:t>
      </w:r>
      <w:r>
        <w:rPr>
          <w:rFonts w:ascii="Times New Roman;serif" w:hAnsi="Times New Roman;serif"/>
          <w:b w:val="false"/>
          <w:color w:val="000000"/>
          <w:sz w:val="22"/>
          <w:u w:val="single"/>
        </w:rPr>
        <w:t>Forfeiture or Clawback</w:t>
      </w:r>
      <w:r>
        <w:rPr>
          <w:rFonts w:ascii="Times New Roman;serif" w:hAnsi="Times New Roman;serif"/>
          <w:b w:val="false"/>
          <w:color w:val="000000"/>
          <w:sz w:val="22"/>
        </w:rPr>
        <w:t>. By accepting this Award, Participant agrees that this Award of Restricted Stock Units (including any Shares acquired through the Award and proceeds, gains or other economic benefit received by Participant from a subsequent sale of such Shares) will be subject to Section 16(f) of the Plan with respect to forfeiture or clawback.</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25.</w:t>
      </w:r>
      <w:r>
        <w:rPr>
          <w:rFonts w:ascii="Times New Roman;serif" w:hAnsi="Times New Roman;serif"/>
          <w:b w:val="false"/>
          <w:color w:val="000000"/>
          <w:sz w:val="22"/>
          <w:u w:val="single"/>
        </w:rPr>
        <w:t>Governing Law and Venue</w:t>
      </w:r>
      <w:r>
        <w:rPr>
          <w:rFonts w:ascii="Times New Roman;serif" w:hAnsi="Times New Roman;serif"/>
          <w:b w:val="false"/>
          <w:color w:val="000000"/>
          <w:sz w:val="22"/>
        </w:rPr>
        <w:t>. This Award Agreement will be governed by the provisions of Section 4(g) of the Plan, which selects Delaware law and venue.</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26.</w:t>
      </w:r>
      <w:r>
        <w:rPr>
          <w:rFonts w:ascii="Times New Roman;serif" w:hAnsi="Times New Roman;serif"/>
          <w:b w:val="false"/>
          <w:color w:val="000000"/>
          <w:sz w:val="22"/>
          <w:u w:val="single"/>
        </w:rPr>
        <w:t>Language</w:t>
      </w:r>
      <w:r>
        <w:rPr>
          <w:rFonts w:ascii="Times New Roman;serif" w:hAnsi="Times New Roman;serif"/>
          <w:b w:val="false"/>
          <w:color w:val="000000"/>
          <w:sz w:val="22"/>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27.</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xml:space="preserve">. The Company reserves the right to impose other requirements on Participant’s participation in the Plan, on the Restricted Stock Units and on any Shares acquired under the Plan, to the extent the Company determines it is necessary or advisable for legal or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administrative reasons, and to require Participant to sign any additional agreements or undertakings that may be necessary to accomplish the foregoing.</w:t>
      </w:r>
    </w:p>
    <w:p>
      <w:pPr>
        <w:pStyle w:val="TextBody"/>
        <w:bidi w:val="0"/>
        <w:spacing w:before="10" w:after="283"/>
        <w:ind w:left="0" w:right="0" w:firstLine="720"/>
        <w:jc w:val="both"/>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28.</w:t>
      </w:r>
      <w:r>
        <w:rPr>
          <w:rFonts w:ascii="Times New Roman;serif" w:hAnsi="Times New Roman;serif"/>
          <w:b w:val="false"/>
          <w:color w:val="000000"/>
          <w:sz w:val="22"/>
          <w:u w:val="single"/>
        </w:rPr>
        <w:t>Addendum</w:t>
      </w:r>
      <w:r>
        <w:rPr>
          <w:rFonts w:ascii="Times New Roman;serif" w:hAnsi="Times New Roman;serif"/>
          <w:b w:val="false"/>
          <w:color w:val="000000"/>
          <w:sz w:val="22"/>
        </w:rPr>
        <w:t>. Notwithstanding any provisions in this Award Agreement, the Restricted Stock Unit Award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29.</w:t>
      </w:r>
      <w:r>
        <w:rPr>
          <w:rFonts w:ascii="Times New Roman;serif" w:hAnsi="Times New Roman;serif"/>
          <w:b w:val="false"/>
          <w:color w:val="000000"/>
          <w:sz w:val="22"/>
          <w:u w:val="single"/>
        </w:rPr>
        <w:t>Waiver</w:t>
      </w:r>
      <w:r>
        <w:rPr>
          <w:rFonts w:ascii="Times New Roman;serif" w:hAnsi="Times New Roman;serif"/>
          <w:b w:val="false"/>
          <w:color w:val="000000"/>
          <w:sz w:val="22"/>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30.</w:t>
      </w:r>
      <w:r>
        <w:rPr>
          <w:rFonts w:ascii="Times New Roman;serif" w:hAnsi="Times New Roman;serif"/>
          <w:b w:val="false"/>
          <w:color w:val="000000"/>
          <w:sz w:val="22"/>
          <w:u w:val="single"/>
        </w:rPr>
        <w:t>Insider-Trading/Market-Abuse Laws</w:t>
      </w:r>
      <w:r>
        <w:rPr>
          <w:rFonts w:ascii="Times New Roman;serif" w:hAnsi="Times New Roman;serif"/>
          <w:b w:val="false"/>
          <w:color w:val="000000"/>
          <w:sz w:val="22"/>
        </w:rPr>
        <w:t>. Participant acknowledges that Participant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before="240" w:after="283"/>
        <w:ind w:left="0" w:right="0" w:firstLine="1439"/>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insider-trading policy. Participant is responsible for complying with any applicable restrictions and should speak to Participant’s personal legal advisor for further details regarding any applicable insider trading and/or market-abuse laws in Participant’s country.</w:t>
      </w:r>
    </w:p>
    <w:p>
      <w:pPr>
        <w:pStyle w:val="TextBody"/>
        <w:bidi w:val="0"/>
        <w:spacing w:before="10" w:after="283"/>
        <w:ind w:left="0" w:right="0" w:firstLine="720"/>
        <w:jc w:val="both"/>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31.</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pStyle w:val="TextBody"/>
        <w:bidi w:val="0"/>
        <w:spacing w:lineRule="auto" w:line="288" w:before="240" w:after="283"/>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Section 409A applies to and is relevant only for Participants who are U.S. taxpayers.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27660"/>
                <wp:effectExtent l="0" t="0" r="0" b="0"/>
                <wp:wrapNone/>
                <wp:docPr id="113" name="Frame1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79" w:after="283"/>
        <w:ind w:left="0" w:right="0" w:firstLine="72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ADDENDUM TO THE GLOBAL RESTRICTED STOCK UNIT AWARD AGREEMENT</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capitalized terms used but not defined in this Addendum have the meanings set forth in the Plan and/or the Award Agreement.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Addendum contains additional terms and conditions that govern the Restricted Stock Units granted under the Plan to a Participant who resides and/or works in one of the countries listed below.</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terms and conditions of the Restricted Stock Units contained herein may not be applicable to Participant, and the Company shall, in its discretion, determine to what extent the terms and conditions contained herein shall apply to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Addendum contains information regarding exchange controls and certain other issues of which Participant should be aware with respect to participation in the Plan. The information is based on the securities, exchange control, and other laws in effect in the respective countries as of February 2025. Such laws are often complex and change frequently. As a result, the Company strongly recommends that Participant not rely on the information in this Addendum as the only source of information relating to the consequences of his or her participation in the Plan because the information may be out of date at the time Participant vests in the Restricted Stock Units or sells Shares acquired pursuant thereto.</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his or her situation.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after the Restricted Stock Units are granted, or is considered a resident of another country for local law purposes, the information contained herein may not be applicable to Participant in the same manner.</w:t>
      </w:r>
    </w:p>
    <w:p>
      <w:pPr>
        <w:pStyle w:val="TextBody"/>
        <w:bidi w:val="0"/>
        <w:spacing w:before="0" w:after="0"/>
        <w:jc w:val="both"/>
        <w:rPr/>
      </w:pPr>
      <w:r>
        <w:rPr/>
      </w:r>
    </w:p>
    <w:p>
      <w:pPr>
        <w:pStyle w:val="TextBody"/>
        <w:bidi w:val="0"/>
        <w:spacing w:lineRule="auto" w:line="288" w:before="79"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DATA PRIVACY PROVISIONS FOR ALL PARTICIPANTS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Terms and Conditions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PARTICIPANTS IN THE EUROPEAN UNION / EUROPEAN ECONOMIC AREA / SWITZERLAND / UNITED KINGDOM</w:t>
      </w:r>
    </w:p>
    <w:p>
      <w:pPr>
        <w:pStyle w:val="TextBody"/>
        <w:bidi w:val="0"/>
        <w:spacing w:before="10" w:after="283"/>
        <w:ind w:left="0" w:right="0" w:firstLine="720"/>
        <w:jc w:val="both"/>
        <w:rPr/>
      </w:pPr>
      <w:r>
        <w:rPr/>
      </w:r>
    </w:p>
    <w:p>
      <w:pPr>
        <w:pStyle w:val="TextBody"/>
        <w:bidi w:val="0"/>
        <w:spacing w:lineRule="auto" w:line="288" w:before="0" w:after="0"/>
        <w:ind w:left="0" w:right="0" w:firstLine="134"/>
        <w:jc w:val="both"/>
        <w:rPr/>
      </w:pPr>
      <w:r>
        <w:rPr>
          <w:rFonts w:ascii="Times New Roman;serif" w:hAnsi="Times New Roman;serif"/>
          <w:b/>
          <w:i/>
          <w:color w:val="000000"/>
          <w:sz w:val="24"/>
        </w:rPr>
        <w:t>(i)</w:t>
      </w:r>
      <w:r>
        <w:rPr>
          <w:rFonts w:ascii="Times New Roman;serif" w:hAnsi="Times New Roman;serif"/>
          <w:b/>
          <w:color w:val="000000"/>
          <w:sz w:val="22"/>
        </w:rPr>
        <w:t>Collection and Usage</w:t>
      </w:r>
      <w:r>
        <w:rPr>
          <w:rFonts w:ascii="Times New Roman;serif" w:hAnsi="Times New Roman;serif"/>
          <w:b/>
          <w:i/>
          <w:color w:val="000000"/>
          <w:sz w:val="22"/>
        </w:rPr>
        <w:t>. Pursuant to applicable data protection laws, Participant is hereby notified that the Company collects, processes, uses and transfers certain personally-identifiable information about Participant for the legitimate purpose of granting Restricted Stock Units and implementing, administering and managing Participant’s participation in the Plan. Specifics of the data processing are described below.</w:t>
      </w:r>
    </w:p>
    <w:p>
      <w:pPr>
        <w:pStyle w:val="TextBody"/>
        <w:bidi w:val="0"/>
        <w:spacing w:before="10" w:after="283"/>
        <w:ind w:left="0" w:right="0" w:firstLine="720"/>
        <w:jc w:val="both"/>
        <w:rPr/>
      </w:pPr>
      <w:r>
        <w:rPr/>
      </w:r>
    </w:p>
    <w:p>
      <w:pPr>
        <w:pStyle w:val="TextBody"/>
        <w:bidi w:val="0"/>
        <w:spacing w:lineRule="auto" w:line="288" w:before="0" w:after="0"/>
        <w:ind w:left="0" w:right="0" w:firstLine="67"/>
        <w:jc w:val="both"/>
        <w:rPr/>
      </w:pPr>
      <w:r>
        <w:rPr>
          <w:rFonts w:ascii="Times New Roman;serif" w:hAnsi="Times New Roman;serif"/>
          <w:b/>
          <w:i/>
          <w:color w:val="000000"/>
          <w:sz w:val="24"/>
        </w:rPr>
        <w:t>(ii)</w:t>
      </w:r>
      <w:r>
        <w:rPr>
          <w:rFonts w:ascii="Times New Roman;serif" w:hAnsi="Times New Roman;serif"/>
          <w:b/>
          <w:color w:val="000000"/>
          <w:sz w:val="22"/>
        </w:rPr>
        <w:t xml:space="preserve">Controller and Representative. </w:t>
      </w:r>
      <w:r>
        <w:rPr>
          <w:rFonts w:ascii="Times New Roman;serif" w:hAnsi="Times New Roman;serif"/>
          <w:b/>
          <w:i/>
          <w:color w:val="000000"/>
          <w:sz w:val="22"/>
        </w:rPr>
        <w:t xml:space="preserve">The Company is the controller responsible for the processing of Participant’s personal data in connection with the Plan. The Company’s representative is Chief Privacy Officer,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4"/>
        </w:rPr>
        <w:t>(iii)</w:t>
      </w:r>
      <w:r>
        <w:rPr>
          <w:rFonts w:ascii="Times New Roman;serif" w:hAnsi="Times New Roman;serif"/>
          <w:b/>
          <w:color w:val="000000"/>
          <w:sz w:val="22"/>
        </w:rPr>
        <w:t xml:space="preserve">Personal Data Subject to Processing. </w:t>
      </w:r>
      <w:r>
        <w:rPr>
          <w:rFonts w:ascii="Times New Roman;serif" w:hAnsi="Times New Roman;serif"/>
          <w:b/>
          <w:i/>
          <w:color w:val="000000"/>
          <w:sz w:val="22"/>
        </w:rPr>
        <w:t>The Company collects, processes and uses the following types of personal data about Participant: Participant’s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Restricted Stock Units or any other entitlement to Shares awarded, canceled, settled, vested, unvested or outstanding in Participant’s favor, which the Company receives from Participant or the Service Recipient (“</w:t>
      </w:r>
      <w:r>
        <w:rPr>
          <w:rFonts w:ascii="Times New Roman;serif" w:hAnsi="Times New Roman;serif"/>
          <w:b/>
          <w:i/>
          <w:color w:val="000000"/>
          <w:sz w:val="22"/>
          <w:u w:val="single"/>
        </w:rPr>
        <w:t>Data</w:t>
      </w:r>
      <w:r>
        <w:rPr>
          <w:color w:val="000000"/>
        </w:rPr>
        <w:t>”</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ind w:left="0" w:right="0" w:firstLine="26"/>
        <w:jc w:val="both"/>
        <w:rPr/>
      </w:pPr>
      <w:r>
        <w:rPr>
          <w:rFonts w:ascii="Times New Roman;serif" w:hAnsi="Times New Roman;serif"/>
          <w:b/>
          <w:i/>
          <w:color w:val="000000"/>
          <w:sz w:val="24"/>
        </w:rPr>
        <w:t>(iv)</w:t>
      </w:r>
      <w:r>
        <w:rPr>
          <w:rFonts w:ascii="Times New Roman;serif" w:hAnsi="Times New Roman;serif"/>
          <w:b/>
          <w:color w:val="000000"/>
          <w:sz w:val="22"/>
        </w:rPr>
        <w:t xml:space="preserve">Purposes and Legal Bases of Processing. </w:t>
      </w:r>
      <w:r>
        <w:rPr>
          <w:rFonts w:ascii="Times New Roman;serif" w:hAnsi="Times New Roman;serif"/>
          <w:b/>
          <w:i/>
          <w:color w:val="000000"/>
          <w:sz w:val="22"/>
        </w:rPr>
        <w:t>The Company processes Data for the purposes of performing its contractual obligations under this Award Agreement, granting Restricted Stock Units, implementing, administering and managing Participant’s participation in the Plan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Award Agreement and for the Company’s legitimate business interests of managing the Plan and generally administering employee equity awards.</w:t>
      </w:r>
    </w:p>
    <w:p>
      <w:pPr>
        <w:pStyle w:val="TextBody"/>
        <w:bidi w:val="0"/>
        <w:spacing w:before="10" w:after="283"/>
        <w:ind w:left="0" w:right="0" w:firstLine="720"/>
        <w:jc w:val="both"/>
        <w:rPr/>
      </w:pPr>
      <w:r>
        <w:rPr/>
      </w:r>
    </w:p>
    <w:p>
      <w:pPr>
        <w:pStyle w:val="TextBody"/>
        <w:bidi w:val="0"/>
        <w:spacing w:lineRule="auto" w:line="288" w:before="79" w:after="283"/>
        <w:ind w:left="0" w:right="0" w:firstLine="93"/>
        <w:jc w:val="both"/>
        <w:rPr/>
      </w:pPr>
      <w:r>
        <w:rPr>
          <w:rFonts w:ascii="Times New Roman;serif" w:hAnsi="Times New Roman;serif"/>
          <w:b/>
          <w:i/>
          <w:color w:val="000000"/>
          <w:sz w:val="24"/>
        </w:rPr>
        <w:t>(v)</w:t>
      </w:r>
      <w:r>
        <w:rPr>
          <w:rFonts w:ascii="Times New Roman;serif" w:hAnsi="Times New Roman;serif"/>
          <w:b/>
          <w:color w:val="000000"/>
          <w:sz w:val="22"/>
        </w:rPr>
        <w:t>Service Providers</w:t>
      </w:r>
      <w:r>
        <w:rPr>
          <w:rFonts w:ascii="Times New Roman;serif" w:hAnsi="Times New Roman;serif"/>
          <w:b/>
          <w:i/>
          <w:color w:val="000000"/>
          <w:sz w:val="22"/>
        </w:rPr>
        <w:t xml:space="preserve">. The Company transfers Data to E*TRADE Financial Services, Inc. and certain of its affiliated companies (“E*TRADE”), which is an independent stock plan administrator with operations, relevant to the Company, in the United States and assists the Company with the implementation, administration and management of the Plan. In the future, the Company may select different service providers and may share Data with such service providers. The Company’s stock plan administrators will open an account for Participant to receive and trade Shares. Participant will be asked to agree on separate terms and data processing practices with the service provider, which is a condition of Participant’s ability to participate in the Plan. Data will only be accessible by those </w:t>
      </w:r>
    </w:p>
    <w:p>
      <w:pPr>
        <w:pStyle w:val="TextBody"/>
        <w:bidi w:val="0"/>
        <w:spacing w:lineRule="auto" w:line="288" w:before="79" w:after="283"/>
        <w:jc w:val="both"/>
        <w:rPr/>
      </w:pPr>
      <w:r>
        <w:rPr>
          <w:rFonts w:ascii="Times New Roman;serif" w:hAnsi="Times New Roman;serif"/>
          <w:b/>
          <w:i/>
          <w:color w:val="000000"/>
          <w:sz w:val="22"/>
        </w:rPr>
        <w:t xml:space="preserve">individuals requiring access to it for purposes of implementing, administering and operating Participant’s participation in the Plan. Participant understands that Participant may request a list with the names and addresses of any potential recipients of Data by contacting 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0" w:after="0"/>
        <w:ind w:left="0" w:right="0" w:firstLine="26"/>
        <w:jc w:val="both"/>
        <w:rPr/>
      </w:pPr>
      <w:r>
        <w:rPr>
          <w:rFonts w:ascii="Times New Roman;serif" w:hAnsi="Times New Roman;serif"/>
          <w:b/>
          <w:i/>
          <w:color w:val="000000"/>
          <w:sz w:val="24"/>
        </w:rPr>
        <w:t>(vi)</w:t>
      </w:r>
      <w:r>
        <w:rPr>
          <w:rFonts w:ascii="Times New Roman;serif" w:hAnsi="Times New Roman;serif"/>
          <w:b/>
          <w:color w:val="000000"/>
          <w:sz w:val="22"/>
        </w:rPr>
        <w:t>International Transfers</w:t>
      </w:r>
      <w:r>
        <w:rPr>
          <w:rFonts w:ascii="Times New Roman;serif" w:hAnsi="Times New Roman;serif"/>
          <w:b/>
          <w:i/>
          <w:color w:val="000000"/>
          <w:sz w:val="22"/>
        </w:rPr>
        <w:t xml:space="preserve">. The Company and its service providers, including, without limitation, E*TRADE, operate, relevant to the Company, in the United States, which means that it will be necessary for Data to be transferred to, and processed in, the United States. Participant understands and acknowledges that the United States is not subject to an unlimited adequacy finding by the European Commission and that Data may not have an equivalent level of protection as compared to Participant’s country of residence. To provide appropriate safeguards for the protection of Data, Data is transferred to the Company based on data transfer and processing agreements implementing the EU Standard Contractual Clauses. Participant may request a copy of the safeguards used to protect Data by contacting the Company at: </w:t>
      </w:r>
      <w:r>
        <w:rPr>
          <w:rFonts w:ascii="Times New Roman;serif" w:hAnsi="Times New Roman;serif"/>
          <w:b/>
          <w:i/>
          <w:color w:val="0000FF"/>
          <w:sz w:val="22"/>
          <w:u w:val="single"/>
        </w:rPr>
        <w:t>privacy@paloaltonetworks.com</w:t>
      </w:r>
      <w:r>
        <w:rPr>
          <w:rFonts w:ascii="Times New Roman;serif" w:hAnsi="Times New Roman;serif"/>
          <w:b/>
          <w:i/>
          <w:color w:val="000000"/>
          <w:sz w:val="22"/>
        </w:rPr>
        <w:t>. The Company reserves the right to use a different but adequate data transfer legal mechanism.</w:t>
      </w:r>
    </w:p>
    <w:p>
      <w:pPr>
        <w:pStyle w:val="TextBody"/>
        <w:bidi w:val="0"/>
        <w:spacing w:before="10" w:after="283"/>
        <w:ind w:left="0" w:right="0" w:firstLine="720"/>
        <w:jc w:val="both"/>
        <w:rPr/>
      </w:pPr>
      <w:r>
        <w:rPr/>
      </w:r>
    </w:p>
    <w:p>
      <w:pPr>
        <w:pStyle w:val="TextBody"/>
        <w:bidi w:val="0"/>
        <w:spacing w:lineRule="auto" w:line="288" w:before="0" w:after="0"/>
        <w:ind w:left="0" w:right="0" w:hanging="41"/>
        <w:jc w:val="both"/>
        <w:rPr/>
      </w:pPr>
      <w:r>
        <w:rPr>
          <w:rFonts w:ascii="Times New Roman;serif" w:hAnsi="Times New Roman;serif"/>
          <w:b/>
          <w:i/>
          <w:color w:val="000000"/>
          <w:sz w:val="24"/>
        </w:rPr>
        <w:t>(vii)</w:t>
      </w:r>
      <w:r>
        <w:rPr>
          <w:rFonts w:ascii="Times New Roman;serif" w:hAnsi="Times New Roman;serif"/>
          <w:b/>
          <w:color w:val="000000"/>
          <w:sz w:val="22"/>
        </w:rPr>
        <w:t>Data Retention</w:t>
      </w:r>
      <w:r>
        <w:rPr>
          <w:rFonts w:ascii="Times New Roman;serif" w:hAnsi="Times New Roman;serif"/>
          <w:b/>
          <w:i/>
          <w:color w:val="000000"/>
          <w:sz w:val="22"/>
        </w:rPr>
        <w:t>. The Company will use Data only as long as is necessary to implement, administer and manage Participant’s participation in the Plan,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pStyle w:val="TextBody"/>
        <w:bidi w:val="0"/>
        <w:spacing w:before="10" w:after="283"/>
        <w:ind w:left="0" w:right="0" w:firstLine="720"/>
        <w:jc w:val="both"/>
        <w:rPr/>
      </w:pPr>
      <w:r>
        <w:rPr/>
      </w:r>
    </w:p>
    <w:p>
      <w:pPr>
        <w:pStyle w:val="TextBody"/>
        <w:bidi w:val="0"/>
        <w:spacing w:lineRule="auto" w:line="288" w:before="0" w:after="0"/>
        <w:ind w:left="0" w:right="0" w:hanging="106"/>
        <w:jc w:val="both"/>
        <w:rPr/>
      </w:pPr>
      <w:r>
        <w:rPr>
          <w:rFonts w:ascii="Times New Roman;serif" w:hAnsi="Times New Roman;serif"/>
          <w:b/>
          <w:i/>
          <w:color w:val="000000"/>
          <w:sz w:val="24"/>
        </w:rPr>
        <w:t>(viii)</w:t>
      </w:r>
      <w:r>
        <w:rPr>
          <w:rFonts w:ascii="Times New Roman;serif" w:hAnsi="Times New Roman;serif"/>
          <w:b/>
          <w:color w:val="000000"/>
          <w:sz w:val="22"/>
        </w:rPr>
        <w:t>Data Subject Rights</w:t>
      </w:r>
      <w:r>
        <w:rPr>
          <w:rFonts w:ascii="Times New Roman;serif" w:hAnsi="Times New Roman;serif"/>
          <w:b/>
          <w:i/>
          <w:color w:val="000000"/>
          <w:sz w:val="22"/>
        </w:rPr>
        <w:t xml:space="preserve">. To the extent provided by law, Participant has the right to (i) inquire whether and what kind of Data the Company holds about Participant and how it is processed, and to access or request copies of such Data, (ii) request the 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Participant has, to the extent provided by law, the right to (iv) request the Company to restrict the processing of Data in certain situations where Participant feels its processing is inappropriate, (v) object, in certain circumstances, to the processing of Data for legitimate interests, and to (vi) request portability of Data that Participant has actively or passively provided to the Company, where the processing of such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Award Agreement or to exercise his or her rights, Participant should contact the Company at: </w:t>
      </w:r>
      <w:r>
        <w:rPr>
          <w:rFonts w:ascii="Times New Roman;serif" w:hAnsi="Times New Roman;serif"/>
          <w:b/>
          <w:i/>
          <w:color w:val="0000FF"/>
          <w:sz w:val="22"/>
          <w:u w:val="single"/>
        </w:rPr>
        <w:t>privacy@paloaltonetworks.com</w:t>
      </w:r>
      <w:r>
        <w:rPr>
          <w:color w:val="0000FF"/>
        </w:rPr>
        <w:t xml:space="preserve"> </w:t>
      </w:r>
      <w:r>
        <w:rPr>
          <w:rFonts w:ascii="Times New Roman;serif" w:hAnsi="Times New Roman;serif"/>
          <w:b/>
          <w:i/>
          <w:color w:val="000000"/>
          <w:sz w:val="22"/>
        </w:rPr>
        <w:t xml:space="preserve">(for questions) or </w:t>
      </w:r>
      <w:r>
        <w:rPr>
          <w:rFonts w:ascii="Times New Roman;serif" w:hAnsi="Times New Roman;serif"/>
          <w:b/>
          <w:i/>
          <w:color w:val="0000FF"/>
          <w:sz w:val="22"/>
          <w:u w:val="single"/>
        </w:rPr>
        <w:t>individualrights@paloaltonetworks.com</w:t>
      </w:r>
      <w:r>
        <w:rPr>
          <w:color w:val="0000FF"/>
        </w:rPr>
        <w:t xml:space="preserve"> </w:t>
      </w:r>
      <w:r>
        <w:rPr>
          <w:rFonts w:ascii="Times New Roman;serif" w:hAnsi="Times New Roman;serif"/>
          <w:b/>
          <w:i/>
          <w:color w:val="000000"/>
          <w:sz w:val="22"/>
        </w:rPr>
        <w:t>(to exercise rights).</w:t>
      </w:r>
    </w:p>
    <w:p>
      <w:pPr>
        <w:pStyle w:val="TextBody"/>
        <w:bidi w:val="0"/>
        <w:spacing w:before="11" w:after="283"/>
        <w:ind w:left="0" w:right="0" w:firstLine="720"/>
        <w:jc w:val="both"/>
        <w:rPr/>
      </w:pPr>
      <w:r>
        <w:rPr/>
      </w:r>
    </w:p>
    <w:p>
      <w:pPr>
        <w:pStyle w:val="TextBody"/>
        <w:bidi w:val="0"/>
        <w:spacing w:lineRule="auto" w:line="288" w:before="0" w:after="0"/>
        <w:ind w:left="0" w:right="0" w:firstLine="13"/>
        <w:jc w:val="both"/>
        <w:rPr/>
      </w:pPr>
      <w:r>
        <w:rPr>
          <w:rFonts w:ascii="Times New Roman;serif" w:hAnsi="Times New Roman;serif"/>
          <w:b/>
          <w:i/>
          <w:color w:val="000000"/>
          <w:sz w:val="24"/>
        </w:rPr>
        <w:t>(ix)</w:t>
      </w:r>
      <w:r>
        <w:rPr>
          <w:rFonts w:ascii="Times New Roman;serif" w:hAnsi="Times New Roman;serif"/>
          <w:b/>
          <w:color w:val="000000"/>
          <w:sz w:val="22"/>
        </w:rPr>
        <w:t xml:space="preserve">Contractual Requirement. </w:t>
      </w:r>
      <w:r>
        <w:rPr>
          <w:rFonts w:ascii="Times New Roman;serif" w:hAnsi="Times New Roman;serif"/>
          <w:b/>
          <w:i/>
          <w:color w:val="000000"/>
          <w:sz w:val="22"/>
        </w:rPr>
        <w:t>Participant’s provision of Data and its processing as described above is a contractual requirement and a condition to Participant’s ability to participate in the Plan. Participant understands that, as a consequence of Participant’s refusing to provide Data, the Company may not be able to allow Participant to participate in the Plan,</w:t>
      </w:r>
    </w:p>
    <w:p>
      <w:pPr>
        <w:pStyle w:val="TextBody"/>
        <w:bidi w:val="0"/>
        <w:spacing w:before="0" w:after="0"/>
        <w:jc w:val="both"/>
        <w:rPr/>
      </w:pPr>
      <w:r>
        <w:rPr/>
      </w:r>
    </w:p>
    <w:p>
      <w:pPr>
        <w:pStyle w:val="TextBody"/>
        <w:bidi w:val="0"/>
        <w:spacing w:lineRule="auto" w:line="288" w:before="79" w:after="283"/>
        <w:ind w:left="0" w:right="0" w:firstLine="720"/>
        <w:jc w:val="both"/>
        <w:rPr/>
      </w:pPr>
      <w:r>
        <w:rPr>
          <w:rFonts w:ascii="Times New Roman;serif" w:hAnsi="Times New Roman;serif"/>
          <w:b/>
          <w:i/>
          <w:color w:val="000000"/>
          <w:sz w:val="22"/>
        </w:rPr>
        <w:t xml:space="preserve">grant Restricted Stock Units to Participant or administer or maintain such Restricted Stock Units. However, Participant’s participation in the Plan and his or her acceptance of this Award Agreement are purely voluntary. While Participant will not receive Restricted Stock Units if he or she decides against participating in the Plan or providing Data as described above, with the exception of not receiving these benefits, Participant’s status as a Service Provider will not be affected in any way. For more information on the consequences of the refusal to provide Data, Participant may contact the Company at: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PARTICIPANTS OUTSIDE THE EUROPEAN UNION / EUROPEAN ECONOMIC AREA</w:t>
      </w:r>
    </w:p>
    <w:p>
      <w:pPr>
        <w:pStyle w:val="TextBody"/>
        <w:bidi w:val="0"/>
        <w:spacing w:lineRule="auto" w:line="288" w:before="240" w:after="283"/>
        <w:ind w:left="0" w:right="0" w:firstLine="720"/>
        <w:jc w:val="both"/>
        <w:rPr>
          <w:rFonts w:ascii="Times New Roman;serif" w:hAnsi="Times New Roman;serif"/>
          <w:b/>
          <w:color w:val="000000"/>
          <w:sz w:val="22"/>
        </w:rPr>
      </w:pPr>
      <w:r>
        <w:rPr>
          <w:rFonts w:ascii="Times New Roman;serif" w:hAnsi="Times New Roman;serif"/>
          <w:b/>
          <w:color w:val="000000"/>
          <w:sz w:val="22"/>
        </w:rPr>
        <w:t>/ SWITZERLAND / UNITED KINGDOM</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Participant consents to the collection, use and transfer, in electronic or other form, of Participant’s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Participant understands that the Company and the Service Recipient may hold certain personal information about Participant, including, but not limited to, Participant’s name, home address, email address and telephone number, date of birth, social insurance number, passport or other identification number, salary, nationality, job title, any shares of stock or directorships held in the Company, details of all Restricted Stock Units or any other entitlement to Shares awarded, canceled, exercised, vested, unvested or outstanding in Participant’s favor (“</w:t>
      </w:r>
      <w:r>
        <w:rPr>
          <w:rFonts w:ascii="Times New Roman;serif" w:hAnsi="Times New Roman;serif"/>
          <w:b/>
          <w:i/>
          <w:color w:val="000000"/>
          <w:sz w:val="22"/>
          <w:u w:val="single"/>
        </w:rPr>
        <w:t>Data</w:t>
      </w:r>
      <w:r>
        <w:rPr>
          <w:color w:val="000000"/>
        </w:rPr>
        <w:t>”</w:t>
      </w:r>
      <w:r>
        <w:rPr>
          <w:rFonts w:ascii="Times New Roman;serif" w:hAnsi="Times New Roman;serif"/>
          <w:b/>
          <w:i/>
          <w:color w:val="000000"/>
          <w:sz w:val="22"/>
        </w:rPr>
        <w:t>), for the purpose of implementing, administering and managing the Plan.</w:t>
      </w:r>
    </w:p>
    <w:p>
      <w:pPr>
        <w:pStyle w:val="TextBody"/>
        <w:bidi w:val="0"/>
        <w:spacing w:before="240" w:after="283"/>
        <w:ind w:left="0" w:right="0" w:firstLine="720"/>
        <w:jc w:val="both"/>
        <w:rPr/>
      </w:pPr>
      <w:r>
        <w:rPr/>
      </w:r>
    </w:p>
    <w:p>
      <w:pPr>
        <w:pStyle w:val="TextBody"/>
        <w:bidi w:val="0"/>
        <w:spacing w:lineRule="auto" w:line="288" w:before="79" w:after="283"/>
        <w:ind w:left="0" w:right="0" w:firstLine="720"/>
        <w:jc w:val="both"/>
        <w:rPr/>
      </w:pPr>
      <w:r>
        <w:rPr>
          <w:rFonts w:ascii="Times New Roman;serif" w:hAnsi="Times New Roman;serif"/>
          <w:b/>
          <w:i/>
          <w:color w:val="000000"/>
          <w:sz w:val="22"/>
        </w:rPr>
        <w:t xml:space="preserve">Participant understands that Data will be transferred to E*TRADE Financial Services, Inc. and certain of its affiliated companies (“E*TRADE”) which is assisting the Company with the implementation, administration and management of the Plan. Participant understands that the recipients of Data may be located in the United States or elsewhere, and that the recipients’ country (e.g., the United States) may have different data privacy laws and protections than Participant’s country. Participant understands that, if Participant resides outside the U.S., Participant may request a list with the names and addresses of any potential recipients of Data by contacting 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 xml:space="preserve">. Participant authorizes the Company and any other possible recipients which may assist the Company (presently or in the future) with implementing, administering and managing the Plan to collect, receive, possess, use, retain, transfer, or otherwise process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if Participant resides outside the U.S., Participant may, at any time, view Data, request additional information about the storage and processing of Data, require any necessary amendments to Data or refuse or withdraw the consents herein, in any case without cost, by contacting in writing </w:t>
      </w:r>
    </w:p>
    <w:p>
      <w:pPr>
        <w:pStyle w:val="TextBody"/>
        <w:bidi w:val="0"/>
        <w:spacing w:lineRule="auto" w:line="288" w:before="79" w:after="283"/>
        <w:jc w:val="both"/>
        <w:rPr/>
      </w:pPr>
      <w:r>
        <w:rPr>
          <w:rFonts w:ascii="Times New Roman;serif" w:hAnsi="Times New Roman;serif"/>
          <w:b/>
          <w:i/>
          <w:color w:val="000000"/>
          <w:sz w:val="22"/>
        </w:rPr>
        <w:t xml:space="preserve">Participant’s local human resources representative, filling out the individual rights request online form at </w:t>
      </w:r>
      <w:r>
        <w:rPr>
          <w:rFonts w:ascii="Times New Roman;serif" w:hAnsi="Times New Roman;serif"/>
          <w:b/>
          <w:i/>
          <w:color w:val="0000FF"/>
          <w:sz w:val="22"/>
          <w:u w:val="single"/>
        </w:rPr>
        <w:t>https://www.paloaltonetworks.com/legal-notices/privacy</w:t>
      </w:r>
      <w:r>
        <w:rPr>
          <w:rFonts w:ascii="Times New Roman;serif" w:hAnsi="Times New Roman;serif"/>
          <w:b/>
          <w:i/>
          <w:color w:val="000000"/>
          <w:sz w:val="22"/>
        </w:rPr>
        <w:t xml:space="preserve">, or by sending an email to </w:t>
      </w:r>
      <w:r>
        <w:rPr>
          <w:rFonts w:ascii="Times New Roman;serif" w:hAnsi="Times New Roman;serif"/>
          <w:b/>
          <w:i/>
          <w:color w:val="0000FF"/>
          <w:sz w:val="22"/>
          <w:u w:val="single"/>
        </w:rPr>
        <w:t>individualrights@paloaltonetworks.com</w:t>
      </w:r>
      <w:r>
        <w:rPr>
          <w:rFonts w:ascii="Times New Roman;serif" w:hAnsi="Times New Roman;serif"/>
          <w:b/>
          <w:i/>
          <w:color w:val="000000"/>
          <w:sz w:val="22"/>
        </w:rPr>
        <w:t xml:space="preserve">. Further, Participant understands that Participant is providing the consents herein on a purely voluntary basis. If Participant does not consent, or if Participant later seeks to revoke Participant’s consent, Participant’s status as a Service Provider will not be affected; the only consequence of refusing or withdrawing Participant’s consent is that the Company would not be able to grant Participant Restricted Stock Units or other equity awards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human resources representative or send an email to </w:t>
      </w:r>
      <w:r>
        <w:rPr>
          <w:rFonts w:ascii="Times New Roman;serif" w:hAnsi="Times New Roman;serif"/>
          <w:b/>
          <w:i/>
          <w:color w:val="0000FF"/>
          <w:sz w:val="22"/>
          <w:u w:val="single"/>
        </w:rPr>
        <w:t>privacy@paloaltonetworks.com</w:t>
      </w:r>
      <w:r>
        <w:rPr>
          <w:rFonts w:ascii="Times New Roman;serif" w:hAnsi="Times New Roman;serif"/>
          <w:b/>
          <w:i/>
          <w:color w:val="000000"/>
          <w:sz w:val="22"/>
        </w:rPr>
        <w:t>.</w:t>
      </w:r>
    </w:p>
    <w:p>
      <w:pPr>
        <w:pStyle w:val="TextBody"/>
        <w:bidi w:val="0"/>
        <w:spacing w:before="2"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ARGENTINA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The Shares are not publicly offered or listed on any stock exchange in Argentina. The offer is private and not subject to prospectus requirement in Argentina.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Exchange control regulations in Argentina are subject to frequent change. Participant is solely responsible for complying with any applicable exchange control rules and should consult with his or her personal legal advisor prior to remitting proceeds from the sale of Shares or cash dividends paid on such Shares.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AUSTRALIA</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Tax Information. </w:t>
      </w:r>
      <w:r>
        <w:rPr>
          <w:rFonts w:ascii="Times New Roman;serif" w:hAnsi="Times New Roman;serif"/>
          <w:b w:val="false"/>
          <w:color w:val="000000"/>
          <w:sz w:val="22"/>
        </w:rPr>
        <w:t>The Plan is a plan to which Subdivision 83A-C of the Income Tax Assessment Act 1997 (Cth) applies (subject to conditions in the Act).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offer is being made under Division 1A Part 7.12 of the Corporations Act 2001 (Cth). </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Exchange control reporting is required for cash transactions exceeding a certain threshold (currently AUD10,000) and for international fund transfers. If an Australian bank is assisting with the transaction, the bank will file the report on behalf of Participant.</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AUSTRIA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If Participant holds Shares acquired under the Plan outside of Austria, Participant must submit a report to the Austrian National Bank on a quarterly basis if the value of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Shares as of any given quarter equals or exceeds a certain threshold (currently €5,000,000). The reports must be filed on or before the 15th of the month following the end of the respective quarter. </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separate reporting requirement applies when Participant sells Shares acquired under the Plan or receives a dividend. In that case, there may be exchange control obligations if the cash proceeds are held outside of Austria. If the transaction volume of all accounts abroad equals or exceeds a certain threshold (currently €10,000,000), the movements and balances of all accounts must be reported monthly, as of the last day of the month, on or before the 15th day of the following month, on the prescribed forms. </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BELGIUM</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xml:space="preserve">. Belgian residents are required to provide the National Bank of Belgium with the account details of any foreign securities or bank accounts (including the account number, bank name and country in which any such account was opened). This report, as well as additional information on how to complete it, can be found on the website of the National Bank of Belgium, </w:t>
      </w:r>
      <w:r>
        <w:rPr>
          <w:rFonts w:ascii="Times New Roman;serif" w:hAnsi="Times New Roman;serif"/>
          <w:b w:val="false"/>
          <w:color w:val="0000FF"/>
          <w:sz w:val="22"/>
          <w:u w:val="single"/>
        </w:rPr>
        <w:t>www.nbb.be</w:t>
      </w:r>
      <w:r>
        <w:rPr>
          <w:rFonts w:ascii="Times New Roman;serif" w:hAnsi="Times New Roman;serif"/>
          <w:b w:val="false"/>
          <w:color w:val="000000"/>
          <w:sz w:val="22"/>
        </w:rPr>
        <w:t xml:space="preserve">, under the </w:t>
      </w:r>
      <w:r>
        <w:rPr>
          <w:rFonts w:ascii="Times New Roman;serif" w:hAnsi="Times New Roman;serif"/>
          <w:b w:val="false"/>
          <w:i/>
          <w:color w:val="000000"/>
          <w:sz w:val="22"/>
        </w:rPr>
        <w:t xml:space="preserve">Kredietcentrales / Centrales des crédits </w:t>
      </w:r>
      <w:r>
        <w:rPr>
          <w:rFonts w:ascii="Times New Roman;serif" w:hAnsi="Times New Roman;serif"/>
          <w:b w:val="false"/>
          <w:color w:val="000000"/>
          <w:sz w:val="22"/>
        </w:rPr>
        <w:t>caption.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BRAZIL</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Compliance with Law. </w:t>
      </w:r>
      <w:r>
        <w:rPr>
          <w:rFonts w:ascii="Times New Roman;serif" w:hAnsi="Times New Roman;serif"/>
          <w:b w:val="false"/>
          <w:color w:val="000000"/>
          <w:sz w:val="22"/>
        </w:rPr>
        <w:t>By accepting the Restricted Stock Units, Participant acknowledges that he or she agrees to comply with applicable Brazilian laws and to pay any and all applicable Tax-Related Items associated with the vesting of the Restricted Stock Units, the sale of the Shares acquired pursuant thereto and the receipt of any dividends paid on such Shares.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agrees that Participant is (i) making an investment decision and (ii) the value of the underlying Shares is not fixed and may increase or decrease in value over the vesting period without compensation to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is resident or domiciled in Brazil, he or she will be required to submit an annual or quarterly declaration of assets and rights held outside of Brazil to the Central Bank of Brazil if the aggregate value of such assets and rights equals or exceeds a certain threshold (currently US$1,000,000). Assets and rights that must be reported include the Shares and may include Restricted Stock Units granted under the Plan.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BULGARIA</w:t>
      </w:r>
    </w:p>
    <w:p>
      <w:pPr>
        <w:pStyle w:val="TextBody"/>
        <w:bidi w:val="0"/>
        <w:spacing w:before="240"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i/>
          <w:color w:val="000000"/>
          <w:sz w:val="22"/>
        </w:rPr>
      </w:pPr>
      <w:r>
        <w:rPr>
          <w:rFonts w:ascii="Times New Roman;serif" w:hAnsi="Times New Roman;serif"/>
          <w:b w:val="false"/>
          <w:i/>
          <w:color w:val="000000"/>
          <w:sz w:val="22"/>
        </w:rPr>
        <w:t>NOTIFICATIONS</w:t>
      </w:r>
    </w:p>
    <w:p>
      <w:pPr>
        <w:pStyle w:val="TextBody"/>
        <w:bidi w:val="0"/>
        <w:spacing w:lineRule="auto" w:line="288" w:before="240" w:after="283"/>
        <w:ind w:left="0" w:right="0" w:firstLine="220"/>
        <w:jc w:val="both"/>
        <w:rPr/>
      </w:pPr>
      <w:r>
        <w:rPr>
          <w:rFonts w:ascii="Times New Roman;serif" w:hAnsi="Times New Roman;serif"/>
          <w:b w:val="false"/>
          <w:color w:val="000000"/>
          <w:sz w:val="22"/>
        </w:rPr>
        <w:t>Exchange Control Information. Participant will be required to file statistical forms with the Bulgarian National Bank annually regarding Participant’s receivables in bank accounts held abroad, as well as securities held abroad (</w:t>
      </w:r>
      <w:r>
        <w:rPr>
          <w:rFonts w:ascii="Times New Roman;serif" w:hAnsi="Times New Roman;serif"/>
          <w:b w:val="false"/>
          <w:i/>
          <w:color w:val="000000"/>
          <w:sz w:val="22"/>
        </w:rPr>
        <w:t>e.g.</w:t>
      </w:r>
      <w:r>
        <w:rPr>
          <w:rFonts w:ascii="Times New Roman;serif" w:hAnsi="Times New Roman;serif"/>
          <w:b w:val="false"/>
          <w:color w:val="000000"/>
          <w:sz w:val="22"/>
        </w:rPr>
        <w:t xml:space="preserve">, Shares acquired under the Plan) if the aggregate value of all such receivables and securities equals or exceeds a certain threshold (currently BGN 50,000). The reports are due by March 31. </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CANADA</w:t>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the grant of Restricted Stock Units does not provide any right for Participant to receive a cash payment;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Exclusion from Compensation or Salary</w:t>
      </w:r>
      <w:r>
        <w:rPr>
          <w:rFonts w:ascii="Times New Roman;serif" w:hAnsi="Times New Roman;serif"/>
          <w:b w:val="false"/>
          <w:color w:val="000000"/>
          <w:sz w:val="22"/>
        </w:rPr>
        <w:t>. This provision replaces Section 10(f) of the Terms and Conditions of Global Restricted Stock Unit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explicitly and minimally required under applicable legislation, 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lineRule="auto" w:line="288" w:before="240" w:after="283"/>
        <w:ind w:left="0" w:right="0" w:firstLine="720"/>
        <w:jc w:val="both"/>
        <w:rPr/>
      </w:pPr>
      <w:r>
        <w:rPr>
          <w:rFonts w:ascii="Times New Roman;serif" w:hAnsi="Times New Roman;serif"/>
          <w:b/>
          <w:color w:val="000000"/>
          <w:sz w:val="22"/>
        </w:rPr>
        <w:t>No Compensation for Forfeiture and/or Recoupment</w:t>
      </w:r>
      <w:r>
        <w:rPr>
          <w:rFonts w:ascii="Times New Roman;serif" w:hAnsi="Times New Roman;serif"/>
          <w:b w:val="false"/>
          <w:color w:val="000000"/>
          <w:sz w:val="22"/>
        </w:rPr>
        <w:t>. This provision replaces Section 10(h) of the Terms and Conditions of Global Restricted Stock Unit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explicitly and minimally required under applicable legislation, 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lineRule="auto" w:line="288" w:before="240" w:after="283"/>
        <w:ind w:left="0" w:right="0" w:firstLine="720"/>
        <w:jc w:val="both"/>
        <w:rPr/>
      </w:pPr>
      <w:r>
        <w:rPr>
          <w:rFonts w:ascii="Times New Roman;serif" w:hAnsi="Times New Roman;serif"/>
          <w:b/>
          <w:color w:val="000000"/>
          <w:sz w:val="22"/>
        </w:rPr>
        <w:t>Termination of Service</w:t>
      </w:r>
      <w:r>
        <w:rPr>
          <w:rFonts w:ascii="Times New Roman;serif" w:hAnsi="Times New Roman;serif"/>
          <w:b w:val="false"/>
          <w:color w:val="000000"/>
          <w:sz w:val="22"/>
        </w:rPr>
        <w:t>. The following provision replaces Section 10(j) of the Terms and Conditions of Global Restricted Stock Unit Grant: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for purposes of the Restricted Stock Units, and except as provided herein, Participant’s status as a Service Provider will be considered terminated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(if any) to earn, seek damages in lieu of, vest in or otherwise benefit from any portion of the Restricted Stock Units pursuant to this Award Agreement will be measured, as of the date Participant is no longer actually providing services to the Company or any Parent or Subsidiary (the “</w:t>
      </w:r>
      <w:r>
        <w:rPr>
          <w:rFonts w:ascii="Times New Roman;serif" w:hAnsi="Times New Roman;serif"/>
          <w:b w:val="false"/>
          <w:color w:val="000000"/>
          <w:sz w:val="22"/>
          <w:u w:val="single"/>
        </w:rPr>
        <w:t>Termination Date</w:t>
      </w:r>
      <w:r>
        <w:rPr>
          <w:color w:val="000000"/>
        </w:rPr>
        <w:t>”</w:t>
      </w:r>
      <w:r>
        <w:rPr>
          <w:rFonts w:ascii="Times New Roman;serif" w:hAnsi="Times New Roman;serif"/>
          <w:b w:val="false"/>
          <w:color w:val="000000"/>
          <w:sz w:val="22"/>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explicitly required by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Participant will not earn or be entitled to any pro-rated vesting for that portion of time before the date on which Participant’s right to vest terminates, nor will Participant be entitled to any compensation for lost vesting.</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applicable employment standards legislation explicitly requires continued vesting or other participation in the Plan during a statutory notice period, Participant acknowledges that his or her right to vest in the Restricted Stock Units or otherwise benefit from the Restricted Stock Units, if any, will terminate effective as of the last day of his or her minimum statutory notice period, but Participant will not earn or be entitled to any pro-rated vesting or other participation if the vesting date falls after the end of his or her statutory notice period, nor will Participant be entitled to any compensation for lost vesting or participation. For further clarity, any reference to a termination of Participant’s status as a Service Provider, or a date of termination under this Award Agreement or the Plan, will be interpreted to mean the Termination Date.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The following provisions apply if Participant resides in Quebec:</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French Language Documents.</w:t>
      </w:r>
      <w:r>
        <w:rPr>
          <w:color w:val="000000"/>
        </w:rPr>
        <w:t xml:space="preserve"> </w:t>
      </w:r>
      <w:r>
        <w:rPr>
          <w:rFonts w:ascii="Times New Roman;serif" w:hAnsi="Times New Roman;serif"/>
          <w:b w:val="false"/>
          <w:color w:val="000000"/>
          <w:sz w:val="22"/>
        </w:rPr>
        <w:t>The following provision replaces Section 26 of the Terms and Conditions of Global Restricted Stock Unit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A French translation of the Award Agreement</w:t>
      </w:r>
      <w:r>
        <w:rPr>
          <w:color w:val="000000"/>
        </w:rPr>
        <w:t xml:space="preserve"> </w:t>
      </w:r>
      <w:r>
        <w:rPr>
          <w:rFonts w:ascii="Times New Roman;serif" w:hAnsi="Times New Roman;serif"/>
          <w:b w:val="false"/>
          <w:color w:val="000000"/>
          <w:sz w:val="22"/>
        </w:rPr>
        <w:t>and the Plan are available to Participant on the Company’s Global Equity Programs LOOP Page (</w:t>
      </w:r>
      <w:r>
        <w:rPr>
          <w:rFonts w:ascii="Times New Roman;serif" w:hAnsi="Times New Roman;serif"/>
          <w:b w:val="false"/>
          <w:color w:val="0000FF"/>
          <w:sz w:val="22"/>
          <w:u w:val="single"/>
        </w:rPr>
        <w:t>https://theloop.paloaltonetworks.com/loop/employee-resources/global-equity-programs/equity-plan-documents</w:t>
      </w:r>
      <w:r>
        <w:rPr>
          <w:rFonts w:ascii="Times New Roman;serif" w:hAnsi="Times New Roman;serif"/>
          <w:b w:val="false"/>
          <w:color w:val="000000"/>
          <w:sz w:val="22"/>
        </w:rPr>
        <w:t>). Participant understands that, from time to time, additional information related to the Restricted Stock Units may be provided in English and such information may not be immediately available in French. Notwithstanding anything to the contrary in the Plan or the Award Agreement, and unless Participant indicates otherwise, the French translation of this Award Agreement and the Plan will govern Participant’s participation in the Plan. If Participant transfers residency outside of Quebec, the English version of this Award Agreement and the Plan will govern Participant’s participation in the Plan.</w:t>
      </w:r>
    </w:p>
    <w:p>
      <w:pPr>
        <w:pStyle w:val="TextBody"/>
        <w:bidi w:val="0"/>
        <w:spacing w:before="240" w:after="283"/>
        <w:ind w:left="0" w:right="0" w:firstLine="720"/>
        <w:jc w:val="both"/>
        <w:rPr/>
      </w:pPr>
      <w:r>
        <w:rPr/>
      </w:r>
    </w:p>
    <w:p>
      <w:pPr>
        <w:pStyle w:val="TextBody"/>
        <w:bidi w:val="0"/>
        <w:spacing w:lineRule="auto" w:line="288" w:before="240" w:after="240"/>
        <w:ind w:left="0" w:right="0" w:firstLine="720"/>
        <w:jc w:val="both"/>
        <w:rPr/>
      </w:pPr>
      <w:r>
        <w:rPr>
          <w:rFonts w:ascii="Times New Roman;serif" w:hAnsi="Times New Roman;serif"/>
          <w:b/>
          <w:i/>
          <w:color w:val="000000"/>
          <w:sz w:val="22"/>
        </w:rPr>
        <w:t>Documents en français</w:t>
      </w:r>
      <w:r>
        <w:rPr>
          <w:rFonts w:ascii="Times New Roman;serif" w:hAnsi="Times New Roman;serif"/>
          <w:b w:val="false"/>
          <w:i/>
          <w:color w:val="000000"/>
          <w:sz w:val="22"/>
        </w:rPr>
        <w:t>. La disposition suivante remplace l’article 26 des Termes et conditions de l’octroi mondial d’unités d’actions restreintes:</w:t>
      </w:r>
    </w:p>
    <w:p>
      <w:pPr>
        <w:pStyle w:val="TextBody"/>
        <w:bidi w:val="0"/>
        <w:spacing w:lineRule="auto" w:line="288" w:before="240" w:after="283"/>
        <w:ind w:left="0" w:right="0" w:firstLine="720"/>
        <w:jc w:val="both"/>
        <w:rPr/>
      </w:pPr>
      <w:r>
        <w:rPr>
          <w:rFonts w:ascii="Times New Roman;serif" w:hAnsi="Times New Roman;serif"/>
          <w:b w:val="false"/>
          <w:i/>
          <w:color w:val="000000"/>
          <w:sz w:val="22"/>
        </w:rPr>
        <w:t>Une traduction française de la Convention d’attribution</w:t>
      </w:r>
      <w:r>
        <w:rPr>
          <w:color w:val="000000"/>
        </w:rPr>
        <w:t xml:space="preserve"> </w:t>
      </w:r>
      <w:r>
        <w:rPr>
          <w:rFonts w:ascii="Times New Roman;serif" w:hAnsi="Times New Roman;serif"/>
          <w:b w:val="false"/>
          <w:i/>
          <w:color w:val="000000"/>
          <w:sz w:val="22"/>
        </w:rPr>
        <w:t>et du Régime est mise à la disposition du Participant sur la page LOOP des programmes d'actions mondiaux de la Société (</w:t>
      </w:r>
      <w:r>
        <w:rPr>
          <w:rFonts w:ascii="Times New Roman;serif" w:hAnsi="Times New Roman;serif"/>
          <w:b w:val="false"/>
          <w:i/>
          <w:color w:val="0000FF"/>
          <w:sz w:val="22"/>
          <w:u w:val="single"/>
        </w:rPr>
        <w:t>https://theloop.paloaltonetworks.com/loop/employee-resources/global-equity-programs/equity-plan-documents</w:t>
      </w:r>
      <w:r>
        <w:rPr>
          <w:rFonts w:ascii="Times New Roman;serif" w:hAnsi="Times New Roman;serif"/>
          <w:b w:val="false"/>
          <w:i/>
          <w:color w:val="000000"/>
          <w:sz w:val="22"/>
        </w:rPr>
        <w:t xml:space="preserve">). Le Participant comprend qu’à l’occasion, des renseignements supplémentaires concernant les Unités d’actions restreintes peuvent être fournis en anglais et que ces renseignements peuvent ne pas être immédiatement accessibles en français. Malgré toute disposition contraire du Régime ou de la Convention d’attribution, et sauf indication contraire de la part du Participant, la traduction française de la présente Convention d’attribution et du Régime régit sa participation au Régime. Si le Participant déménage à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l’extérieur du Québec, la version anglaise de la présente Convention d’attribution et du Régime régira sa participation au Régime.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The following provision supplements the Data Privacy Provisions for Participants Outside the European Union / European Economic Area / Switzerland / United Kingdom above in this Addendum:</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authorizes the Company and the Company’s representatives to discuss and obtain all relevant information from all personnel, professional or non-professional, involved in the administration of the Plan. Participant further authorizes the Company, the Service Recipient and/or any Parent or Subsidiary to disclose and discuss such information with their advisors. Participant acknowledges that Participant’s personal information, including sensitive personal information, may be transferred or disclosed outside the Province of Quebec, including to the United States. Participant also authorizes the Company, the Service Recipient and/or any Parent or Subsidiary to record such information and to keep such information in Participant’s employment file. Further, Participant also acknowledges that the Company, the Service Recipient and/or any Parent or Subsidiary and other parties involved in the administration of the Plan may use technology for profiling purposes and to make automated decisions that may have an impact on Participant or the administration of the Plan.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Participant is permitted to sell Shares acquired under the Plan through the designated broker appointed under the Plan, if any, provided the sale of the Shares takes place outside of Canada through the facilities of a stock exchange on which the Shares are listed (</w:t>
      </w:r>
      <w:r>
        <w:rPr>
          <w:rFonts w:ascii="Times New Roman;serif" w:hAnsi="Times New Roman;serif"/>
          <w:b w:val="false"/>
          <w:i/>
          <w:color w:val="000000"/>
          <w:sz w:val="22"/>
        </w:rPr>
        <w:t>i.e.</w:t>
      </w:r>
      <w:r>
        <w:rPr>
          <w:rFonts w:ascii="Times New Roman;serif" w:hAnsi="Times New Roman;serif"/>
          <w:b w:val="false"/>
          <w:color w:val="000000"/>
          <w:sz w:val="22"/>
        </w:rPr>
        <w:t>, The Nasdaq Global Select Market).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CHILE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Securities Law Notice</w:t>
      </w:r>
      <w:r>
        <w:rPr>
          <w:rFonts w:ascii="Times New Roman;serif" w:hAnsi="Times New Roman;serif"/>
          <w:b w:val="false"/>
          <w:color w:val="000000"/>
          <w:sz w:val="22"/>
        </w:rPr>
        <w:t>. The offer of the Restricted Stock Units constitutes a private offering in Chile effective as of the Date of Grant. The offer of the Restricted Stock Units is made subject to general ruling n° 336 of the Chilean Commission of the Financial Market (“</w:t>
      </w:r>
      <w:r>
        <w:rPr>
          <w:rFonts w:ascii="Times New Roman;serif" w:hAnsi="Times New Roman;serif"/>
          <w:b w:val="false"/>
          <w:color w:val="000000"/>
          <w:sz w:val="22"/>
          <w:u w:val="single"/>
        </w:rPr>
        <w:t>CMF</w:t>
      </w:r>
      <w:r>
        <w:rPr>
          <w:color w:val="000000"/>
        </w:rPr>
        <w:t>”</w:t>
      </w:r>
      <w:r>
        <w:rPr>
          <w:rFonts w:ascii="Times New Roman;serif" w:hAnsi="Times New Roman;serif"/>
          <w:b w:val="false"/>
          <w:color w:val="000000"/>
          <w:sz w:val="22"/>
        </w:rPr>
        <w:t>). The offer refers to securities not registered at the securities registry or at the foreign securities registry of the CMF, and, therefore, such securities are not subject to oversight of the CMF. Given that the Restricted Stock Units are not registered in Chile, the Company is not required to provide information about the Restricted Stock Units or the Shares in Chile. Unless the Restricted Stock Units and/or the Shares are registered with the CMF, a public offering of such securities cannot be made in Chile.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Ley de valores. </w:t>
      </w:r>
      <w:r>
        <w:rPr>
          <w:rFonts w:ascii="Times New Roman;serif" w:hAnsi="Times New Roman;serif"/>
          <w:b w:val="false"/>
          <w:i/>
          <w:color w:val="000000"/>
          <w:sz w:val="22"/>
        </w:rPr>
        <w:t>La oferta de las Unidades de Acciones Restringidas se considera una oferta privada in Chile efectiva a partir de la Fecha de la Concesión. La oferta de las Unidades de Acciones Restringidas se hace sujeta a la regla general no. 336 de la Comisión para el Mercado Financiero de Chile (“</w:t>
      </w:r>
      <w:r>
        <w:rPr>
          <w:rFonts w:ascii="Times New Roman;serif" w:hAnsi="Times New Roman;serif"/>
          <w:b w:val="false"/>
          <w:i/>
          <w:color w:val="000000"/>
          <w:sz w:val="22"/>
          <w:u w:val="single"/>
        </w:rPr>
        <w:t>CMF</w:t>
      </w:r>
      <w:r>
        <w:rPr>
          <w:color w:val="000000"/>
        </w:rPr>
        <w:t>”</w:t>
      </w:r>
      <w:r>
        <w:rPr>
          <w:rFonts w:ascii="Times New Roman;serif" w:hAnsi="Times New Roman;serif"/>
          <w:b w:val="false"/>
          <w:i/>
          <w:color w:val="000000"/>
          <w:sz w:val="22"/>
        </w:rPr>
        <w:t xml:space="preserve">). La oferta se refiere a valores no inscritos en el registro de valores o en el registro de valores extranjeros de la CMF y, por lo tanto, tales valores no están sujetos a la fiscalización de ésta. Dado que las Unidades de Acciones Restringidas no están registradas en Chile, no se requiere que la Compañía provea información sobre las Unidades de Acciones Restringidas o Acciones Bursátiles en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Chile. Salvo que las Unidades de Acciones Restringidas y/o acciones estén registradas con la CMF, no puede hacerse una oferta pública de tales valores en Chile.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Participant is not required to repatriate funds obtained from the sale of Shares or dividends paid on such Shares to Chile. However, if Participant decides to repatriate such funds, Participant must do so through the Formal Exchange Market if the amount of the funds exceeds a certain threshold (currently US$10,000). In such case, Participant must report the payment to a commercial bank or registered foreign exchange office receiving the funds.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Participant’s aggregate investments held outside of Chile exceed a certain threshold (currently US$5,000,000) (including the value of Shares received under the Plan), Participant must report the investments annually to the Central Bank. Annex 3.1 of Chapter XII of the Foreign Exchange Regulations must be used to file this report.</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Please note that exchange control regulations in Chile are subject to change. Participant should consult with his or her personal legal advisor regarding any exchange control obligations that Participant may have in connection with the vesting of the Restricted Stock Units, cash dividends or dividend equivalent payments, or the sale of Shares acquired at vesting.</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CHINA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following provisions will apply if Participant is subject to exchange control restrictions and requirements in the People’s Republic of China (“</w:t>
      </w:r>
      <w:r>
        <w:rPr>
          <w:rFonts w:ascii="Times New Roman;serif" w:hAnsi="Times New Roman;serif"/>
          <w:b w:val="false"/>
          <w:color w:val="000000"/>
          <w:sz w:val="22"/>
          <w:u w:val="single"/>
        </w:rPr>
        <w:t>PRC</w:t>
      </w:r>
      <w:r>
        <w:rPr>
          <w:color w:val="000000"/>
        </w:rPr>
        <w:t>”</w:t>
      </w:r>
      <w:r>
        <w:rPr>
          <w:rFonts w:ascii="Times New Roman;serif" w:hAnsi="Times New Roman;serif"/>
          <w:b w:val="false"/>
          <w:color w:val="000000"/>
          <w:sz w:val="22"/>
        </w:rPr>
        <w:t>), including the requirements imposed by the State Administration of Foreign Exchange (“</w:t>
      </w:r>
      <w:r>
        <w:rPr>
          <w:rFonts w:ascii="Times New Roman;serif" w:hAnsi="Times New Roman;serif"/>
          <w:b w:val="false"/>
          <w:color w:val="000000"/>
          <w:sz w:val="22"/>
          <w:u w:val="single"/>
        </w:rPr>
        <w:t>SAFE</w:t>
      </w:r>
      <w:r>
        <w:rPr>
          <w:color w:val="000000"/>
        </w:rPr>
        <w:t>”</w:t>
      </w:r>
      <w:r>
        <w:rPr>
          <w:rFonts w:ascii="Times New Roman;serif" w:hAnsi="Times New Roman;serif"/>
          <w:b w:val="false"/>
          <w:color w:val="000000"/>
          <w:sz w:val="22"/>
        </w:rPr>
        <w:t>) as determined by the Company in its sole discretion: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Vesting Schedule and Termination. </w:t>
      </w:r>
      <w:r>
        <w:rPr>
          <w:rFonts w:ascii="Times New Roman;serif" w:hAnsi="Times New Roman;serif"/>
          <w:b w:val="false"/>
          <w:color w:val="000000"/>
          <w:sz w:val="22"/>
        </w:rPr>
        <w:t>The following provision supplements Sections 3 and 5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Award Agreement, the Restricted Stock Units shall not vest unless and until the Company, the Service Recipient or any other Subsidiary in China receives all necessary approvals from SAFE or its local counterpart under the Implementing Rules of the Measures for Administration of Foreign Exchange of Individuals to offer such awards in China. Once SAFE approval has been received and provided Participant continues to be an employee of the Company or a Subsidiary, Participant will receive vesting credit for that portion of the Restricted Stock Units that would have vested prior to obtaining SAFE approval, if applicable, and the remaining portion of the Restricted Stock Units will vest in accordance with the vesting schedule set forth in the Award Agreement. If Participant terminates employment prior to the receipt of SAFE approval, any unvested Restricted Stock Units will be forfeited.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Sale of Shares. </w:t>
      </w:r>
      <w:r>
        <w:rPr>
          <w:rFonts w:ascii="Times New Roman;serif" w:hAnsi="Times New Roman;serif"/>
          <w:b w:val="false"/>
          <w:color w:val="000000"/>
          <w:sz w:val="22"/>
        </w:rPr>
        <w:t>Due to local regulatory requirements, Participant understands and agrees that the Company may require that any Shares issued upon the vesting and settlement of the Restricted Stock Units be immediately sold.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agrees that the Company is authorized to instruct its designated broker to assist with the mandatory sale of such Shares (on Participant’s behalf pursuant to this authorization without further consent) and Participant expressly authorizes the Company’s designated broker to complete the sale of such Shares. In this regard, Participant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in its discretion, does not exercise its right to require the automatic sale of the Shares issuable upon vesting and settlement of the Restricted Stock Units, as described in the preceding paragraph, Participant understands and agrees that any Shares acquired under the Plan must be sold no later than six months from Participant’s termination of employment, or within any such other period as may be permitted by the Company or required by SAFE. Participant understands that any Shares acquired under the Plan that have not been sold within six months of Participant’s termination or within such other period as may be permitted by the Company or required by SAFE will be automatically sold by the designated broker pursuant to this authorization without further consent and subject to the terms of the preceding paragraph.</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the sale of the Shares, Participant will receive the cash proceeds from the sale, less any brokerage fees or commissions and subject to any obligation to satisfy any Tax-Related Items. Participant agrees to comply with all requirements the Company may impose in order to facilitate compliance with exchange control requirements in China prior to receipt of the cash proceeds. Participant acknowledges that Participant is not aware of any material nonpublic information with respect to the Company or any securities of the Company as of the date of the Award Agreement.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Requirements. </w:t>
      </w:r>
      <w:r>
        <w:rPr>
          <w:rFonts w:ascii="Times New Roman;serif" w:hAnsi="Times New Roman;serif"/>
          <w:b w:val="false"/>
          <w:color w:val="000000"/>
          <w:sz w:val="22"/>
        </w:rPr>
        <w:t>By accepting the Restricted Stock Units, Participant understands and agrees that, pursuant to local exchange control requirements, Participant will be required to repatriate the cash proceeds from the sale of the Shares and the receipt of any dividends to China. Participant further understands that, under local law, such repatriation of the cash proceeds may need to be effectuated through a special exchange control account established by the Company, the Service Recipient or another Subsidiary, and Participant hereby consents and agrees that any proceeds from the sale of any Shares Participant acquires upon the vesting and settlement of Restricted Stock Units and any dividends may be transferred to such special account prior to being delivered to Participant.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 further understands that the proceeds will be delivered to Participant as soon as possible, but there may be delays in distributing the funds to Participant due to exchange control requirements in China. Proceeds may be paid to Participant in U.S. dollars or local currency, at the Company’s discretion. If the proceeds are paid in U.S. dollars, Participant will be required to set up a U.S. dollar bank account in China so that the proceeds may be deposited into this account. If the proceeds are paid in local currency, Participant agrees that the Company, the Service Recipient or any other Subsidiary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 China is under no obligation to secure any particular exchange conversion rate and there may be delays in converting the cash proceeds to local currency due to exchange control restrictions. Participant agrees to bear any currency fluctuation risk between the time the cash proceeds are received and the time the cash proceeds are distributed to Participant through the special account described above.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agrees to comply with any other requirements that may be imposed by the Company in the future in order to facilitate compliance with exchange control requirements in China.</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Additional Restrictions. </w:t>
      </w:r>
      <w:r>
        <w:rPr>
          <w:rFonts w:ascii="Times New Roman;serif" w:hAnsi="Times New Roman;serif"/>
          <w:b w:val="false"/>
          <w:color w:val="000000"/>
          <w:sz w:val="22"/>
        </w:rPr>
        <w:t>The Restricted Stock Units will not vest and the Shares will not be issued at vesting unless the Company determines that such vesting and the issuance and delivery of Shares complies with all relevant provisions of law. Further, the Company is under no obligation to vest the Restricted Stock Units and/or issue Shares if the Company’s SAFE approval becomes invalid or ceases to be in effect by the time Participant vests in the Restricted Stock Units.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COLOMBIA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Acknowledgement. </w:t>
      </w:r>
      <w:r>
        <w:rPr>
          <w:rFonts w:ascii="Times New Roman;serif" w:hAnsi="Times New Roman;serif"/>
          <w:b w:val="false"/>
          <w:color w:val="000000"/>
          <w:sz w:val="22"/>
        </w:rPr>
        <w:t>Participant acknowledges that pursuant to Article 128 of the Colombia Labor Code, the Plan and related benefits do not constitute a component of “salary” for any purposes.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Investment in assets located abroad (such as Shares acquired under the Plan) does not require prior approval. However, Participant’s investments held abroad, including Shares, must be registered with the Central Bank (</w:t>
      </w:r>
      <w:r>
        <w:rPr>
          <w:rFonts w:ascii="Times New Roman;serif" w:hAnsi="Times New Roman;serif"/>
          <w:b w:val="false"/>
          <w:i/>
          <w:color w:val="000000"/>
          <w:sz w:val="22"/>
        </w:rPr>
        <w:t>Banco de la República</w:t>
      </w:r>
      <w:r>
        <w:rPr>
          <w:rFonts w:ascii="Times New Roman;serif" w:hAnsi="Times New Roman;serif"/>
          <w:b w:val="false"/>
          <w:color w:val="000000"/>
          <w:sz w:val="22"/>
        </w:rPr>
        <w:t>), regardless of the value of such investments.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COSTA RICA</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79" w:after="283"/>
        <w:ind w:left="0" w:right="0" w:firstLine="2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CZECH REPUBLIC</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The Czech National Bank may require Participant to fulfill certain notification duties in relation to the acquisition of Shares and the opening and maintenance of a foreign account. However, because exchange control regulations change frequently and without notice, Participant should consult his or her personal legal advisor prior to the vesting of the Restricted Stock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Units and the subsequent sale of Shares to ensure compliance with current regulations. Participant is responsible for complying with any applicable Czech exchange control laws.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DENMARK</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Award, Participant acknowledges, understands and agrees that it relates to future services to be performed and is not a bonus or compensation for past services.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Stock Option Act. </w:t>
      </w:r>
      <w:r>
        <w:rPr>
          <w:rFonts w:ascii="Times New Roman;serif" w:hAnsi="Times New Roman;serif"/>
          <w:b w:val="false"/>
          <w:color w:val="000000"/>
          <w:sz w:val="22"/>
        </w:rPr>
        <w:t>Participant acknowledges that he or she has received an Employer Statement in Danish (attached at the end of this section) which sets forth additional terms of the Restricted Stock Units, to the extent that the Danish Stock Option Act, as amended effective January 1, 2019 (the “</w:t>
      </w:r>
      <w:r>
        <w:rPr>
          <w:rFonts w:ascii="Times New Roman;serif" w:hAnsi="Times New Roman;serif"/>
          <w:b w:val="false"/>
          <w:color w:val="000000"/>
          <w:sz w:val="22"/>
          <w:u w:val="single"/>
        </w:rPr>
        <w:t>Act</w:t>
      </w:r>
      <w:r>
        <w:rPr>
          <w:color w:val="000000"/>
        </w:rPr>
        <w:t>”</w:t>
      </w:r>
      <w:r>
        <w:rPr>
          <w:rFonts w:ascii="Times New Roman;serif" w:hAnsi="Times New Roman;serif"/>
          <w:b w:val="false"/>
          <w:color w:val="000000"/>
          <w:sz w:val="22"/>
        </w:rPr>
        <w:t>) applies to the Restricted Stock Units.</w:t>
      </w:r>
    </w:p>
    <w:p>
      <w:pPr>
        <w:pStyle w:val="TextBody"/>
        <w:bidi w:val="0"/>
        <w:spacing w:before="0" w:after="0"/>
        <w:jc w:val="both"/>
        <w:rPr/>
      </w:pPr>
      <w:r>
        <w:rPr/>
      </w:r>
    </w:p>
    <w:p>
      <w:pPr>
        <w:pStyle w:val="TextBody"/>
        <w:bidi w:val="0"/>
        <w:spacing w:lineRule="auto" w:line="288" w:before="80" w:after="283"/>
        <w:ind w:left="0" w:right="0" w:hanging="1200"/>
        <w:jc w:val="both"/>
        <w:rPr>
          <w:rFonts w:ascii="Times New Roman;serif" w:hAnsi="Times New Roman;serif"/>
          <w:b/>
          <w:color w:val="000000"/>
          <w:sz w:val="22"/>
        </w:rPr>
      </w:pPr>
      <w:r>
        <w:rPr>
          <w:rFonts w:ascii="Times New Roman;serif" w:hAnsi="Times New Roman;serif"/>
          <w:b/>
          <w:color w:val="000000"/>
          <w:sz w:val="22"/>
        </w:rPr>
        <w:t>SPECIAL NOTICE FOR EMPLOYEES IN DENMARK EMPLOYER STATEMENT</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Section 3(1) of the Act on Stock Options in employment relations, as amended effective January 1, 2019 (the “Stock Option Act”), you are entitled to receive the following information regarding participation in the Palo Alto Networks, Inc. (“PANW”) 2021 Equity Incentive Plan (the “Plan”) in a written statement.</w:t>
      </w:r>
    </w:p>
    <w:p>
      <w:pPr>
        <w:pStyle w:val="TextBody"/>
        <w:bidi w:val="0"/>
        <w:spacing w:before="1"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statement generally contains only the information mentioned in the Stock Option Act, while the other terms and conditions of your grant of restricted stock units (“RSUs”) are described in detail in the Plan, the Restricted Stock Unit Agreement, including Exhibits A and B (the “Agreement”) and the Notice of Restricted Stock Unit Grant (the “Notice”), which have been made available to you. In the event of a conflict between a provision contained in this Employer Statement and provisions contained in the Plan, Agreement or Notice, this Employer Statement shall prevail.</w:t>
      </w:r>
    </w:p>
    <w:p>
      <w:pPr>
        <w:pStyle w:val="TextBody"/>
        <w:bidi w:val="0"/>
        <w:spacing w:before="5"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1.</w:t>
      </w:r>
      <w:r>
        <w:rPr>
          <w:rFonts w:ascii="Times New Roman;serif" w:hAnsi="Times New Roman;serif"/>
          <w:b/>
          <w:color w:val="000000"/>
          <w:sz w:val="22"/>
        </w:rPr>
        <w:t>Date of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date of grant of your RSUs is the date that the Administrator (as defined in the Plan) approved a grant for you and determined it would be effective, which is set forth in the Agreement.</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2.</w:t>
      </w:r>
      <w:r>
        <w:rPr>
          <w:rFonts w:ascii="Times New Roman;serif" w:hAnsi="Times New Roman;serif"/>
          <w:b/>
          <w:color w:val="000000"/>
          <w:sz w:val="22"/>
        </w:rPr>
        <w:t>Terms and Conditions of the RSU Grant</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grant of RSUs under the Plan is made at the sole discretion of the Administrator. Employees and Consultants (as defined in the Plan) of PANW and its Parents or Subsidiaries (as defined in the Plan) are eligible to participate in the Plan.</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3.</w:t>
      </w:r>
      <w:r>
        <w:rPr>
          <w:rFonts w:ascii="Times New Roman;serif" w:hAnsi="Times New Roman;serif"/>
          <w:b/>
          <w:color w:val="000000"/>
          <w:sz w:val="22"/>
        </w:rPr>
        <w:t>Vesting Date of RSUs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RSUs shall vest over a period of time, provided you remain employed by or in the service of PANW or a Subsidiary, unless the RSUs have vested or have terminated earlier for the reasons set forth in the Plan.</w:t>
      </w:r>
    </w:p>
    <w:p>
      <w:pPr>
        <w:pStyle w:val="TextBody"/>
        <w:bidi w:val="0"/>
        <w:spacing w:before="1"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4.</w:t>
      </w:r>
      <w:r>
        <w:rPr>
          <w:rFonts w:ascii="Times New Roman;serif" w:hAnsi="Times New Roman;serif"/>
          <w:b/>
          <w:color w:val="000000"/>
          <w:sz w:val="22"/>
        </w:rPr>
        <w:t>Exercise Price</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There is no exercise price associated with the RSUs. Each RSU entitles you to receive one share of PANW common stock after the RSUs have vested without any cost to you or other payment required from you (other than applicable taxes).</w:t>
      </w:r>
    </w:p>
    <w:p>
      <w:pPr>
        <w:pStyle w:val="TextBody"/>
        <w:bidi w:val="0"/>
        <w:spacing w:before="2"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5.</w:t>
      </w:r>
      <w:r>
        <w:rPr>
          <w:rFonts w:ascii="Times New Roman;serif" w:hAnsi="Times New Roman;serif"/>
          <w:b/>
          <w:color w:val="000000"/>
          <w:sz w:val="22"/>
        </w:rPr>
        <w:t>Your Rights Upon Termination of Your Service Provider Status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treatment of the RSUs upon termination of your status as a Service Provider (as defined in the Plan) will be determined in accordance with the termination provisions in the Agreement, pursuant to which the balance of the RSUs that have not vested as of the time of your termination as a Service Provider for any or no reason generally will be cancelled and forfeited.</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6.</w:t>
      </w:r>
      <w:r>
        <w:rPr>
          <w:rFonts w:ascii="Times New Roman;serif" w:hAnsi="Times New Roman;serif"/>
          <w:b/>
          <w:color w:val="000000"/>
          <w:sz w:val="22"/>
        </w:rPr>
        <w:t>Financial Aspects of Participating in the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grant of RSUs has no immediate financial consequences for you. The value of the RSUs is not taken into account when calculating holiday allowances, pension contributions or other statutory consideration calculated on the basis of salary.</w:t>
      </w:r>
    </w:p>
    <w:p>
      <w:pPr>
        <w:pStyle w:val="TextBody"/>
        <w:bidi w:val="0"/>
        <w:spacing w:before="240" w:after="283"/>
        <w:ind w:left="0" w:right="0" w:firstLine="720"/>
        <w:jc w:val="both"/>
        <w:rPr/>
      </w:pPr>
      <w:r>
        <w:rPr/>
      </w:r>
    </w:p>
    <w:p>
      <w:pPr>
        <w:pStyle w:val="TextBody"/>
        <w:bidi w:val="0"/>
        <w:spacing w:lineRule="auto" w:line="27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Shares of stock are financial instruments and investing in stock will always have financial risk. The future value of PANW’s shares is unknown and cannot be predicted with certainty.</w:t>
      </w:r>
    </w:p>
    <w:p>
      <w:pPr>
        <w:pStyle w:val="TextBody"/>
        <w:bidi w:val="0"/>
        <w:spacing w:before="2" w:after="283"/>
        <w:ind w:left="0" w:right="0" w:firstLine="720"/>
        <w:jc w:val="both"/>
        <w:rPr/>
      </w:pPr>
      <w:r>
        <w:rPr/>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Palo Alto Networks, Inc.</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3000 Tannery Way</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Santa Clara, CA 95054</w:t>
      </w:r>
    </w:p>
    <w:p>
      <w:pPr>
        <w:pStyle w:val="TextBody"/>
        <w:bidi w:val="0"/>
        <w:spacing w:before="0" w:after="0"/>
        <w:jc w:val="both"/>
        <w:rPr/>
      </w:pPr>
      <w:r>
        <w:rPr/>
      </w:r>
    </w:p>
    <w:p>
      <w:pPr>
        <w:pStyle w:val="TextBody"/>
        <w:bidi w:val="0"/>
        <w:spacing w:lineRule="auto" w:line="288" w:before="80" w:after="283"/>
        <w:ind w:left="0" w:right="0" w:hanging="1388"/>
        <w:jc w:val="both"/>
        <w:rPr>
          <w:rFonts w:ascii="Times New Roman;serif" w:hAnsi="Times New Roman;serif"/>
          <w:b/>
          <w:color w:val="000000"/>
          <w:sz w:val="22"/>
        </w:rPr>
      </w:pPr>
      <w:r>
        <w:rPr>
          <w:rFonts w:ascii="Times New Roman;serif" w:hAnsi="Times New Roman;serif"/>
          <w:b/>
          <w:color w:val="000000"/>
          <w:sz w:val="22"/>
        </w:rPr>
        <w:t>SÆRLIG MEDDELELSE TIL MEDARBEJDERE I DANMARK ARBEJDSGIVERERKLÆRING</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henhold til § 3, stk. 1, i lov om brug af køberet eller tegningsret mv. i ansættelsesforhold (“Aktieoptionsloven”) er du berettiget til i en skriftlig erklæring at modtage følgende oplysninger om deltagelse i Palo Alto Networks, Inc. (“PANW”) 2021 Equity Incentive Plan (“Planen”).</w:t>
      </w:r>
    </w:p>
    <w:p>
      <w:pPr>
        <w:pStyle w:val="TextBody"/>
        <w:bidi w:val="0"/>
        <w:spacing w:before="1"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Denne erklæring indeholder generelt kun de oplysninger, der er nævnt i Aktieoptionsloven, medens de øvrige kriterier og betingelser for din tildeling af begrænsede aktier (“</w:t>
      </w:r>
      <w:r>
        <w:rPr>
          <w:rFonts w:ascii="Times New Roman;serif" w:hAnsi="Times New Roman;serif"/>
          <w:b w:val="false"/>
          <w:i/>
          <w:color w:val="000000"/>
          <w:sz w:val="22"/>
        </w:rPr>
        <w:t>Restricted Stock Units</w:t>
      </w:r>
      <w:r>
        <w:rPr>
          <w:color w:val="000000"/>
        </w:rPr>
        <w:t xml:space="preserve">” </w:t>
      </w:r>
      <w:r>
        <w:rPr>
          <w:rFonts w:ascii="Times New Roman;serif" w:hAnsi="Times New Roman;serif"/>
          <w:b w:val="false"/>
          <w:color w:val="000000"/>
          <w:sz w:val="22"/>
        </w:rPr>
        <w:t xml:space="preserve">eller “RSUer”) er beskrevet nærmere i Planen, i </w:t>
      </w:r>
      <w:r>
        <w:rPr>
          <w:rFonts w:ascii="Times New Roman;serif" w:hAnsi="Times New Roman;serif"/>
          <w:b w:val="false"/>
          <w:i/>
          <w:color w:val="000000"/>
          <w:sz w:val="22"/>
        </w:rPr>
        <w:t>Restricted Stock Unit Agreement</w:t>
      </w:r>
      <w:r>
        <w:rPr>
          <w:rFonts w:ascii="Times New Roman;serif" w:hAnsi="Times New Roman;serif"/>
          <w:b w:val="false"/>
          <w:color w:val="000000"/>
          <w:sz w:val="22"/>
        </w:rPr>
        <w:t xml:space="preserve">, inkl. bilag A, B (“Aftalen”) og i </w:t>
      </w:r>
      <w:r>
        <w:rPr>
          <w:rFonts w:ascii="Times New Roman;serif" w:hAnsi="Times New Roman;serif"/>
          <w:b w:val="false"/>
          <w:i/>
          <w:color w:val="000000"/>
          <w:sz w:val="22"/>
        </w:rPr>
        <w:t xml:space="preserve">Notice of Restricted Stock Unit Grant </w:t>
      </w:r>
      <w:r>
        <w:rPr>
          <w:rFonts w:ascii="Times New Roman;serif" w:hAnsi="Times New Roman;serif"/>
          <w:b w:val="false"/>
          <w:color w:val="000000"/>
          <w:sz w:val="22"/>
        </w:rPr>
        <w:t>(“Meddelelsen”), som er udleveret til dig. I tilfælde af uoverensstemmelser mellem en bestemmelse i denne Arbejdsgivererklæring og bestemmelserne i Planen, Aftalen eller Meddelelsen har denne Arbejdsgivererklæring forrang.</w:t>
      </w:r>
    </w:p>
    <w:p>
      <w:pPr>
        <w:pStyle w:val="TextBody"/>
        <w:bidi w:val="0"/>
        <w:spacing w:before="3"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1.</w:t>
      </w:r>
      <w:r>
        <w:rPr>
          <w:rFonts w:ascii="Times New Roman;serif" w:hAnsi="Times New Roman;serif"/>
          <w:b/>
          <w:color w:val="000000"/>
          <w:sz w:val="22"/>
        </w:rPr>
        <w:t>Tidspunkt for tildeling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Tidspunktet for tildelingen af dine RSUer er den dag, hvor Administratoren (</w:t>
      </w:r>
      <w:r>
        <w:rPr>
          <w:rFonts w:ascii="Times New Roman;serif" w:hAnsi="Times New Roman;serif"/>
          <w:b w:val="false"/>
          <w:i/>
          <w:color w:val="000000"/>
          <w:sz w:val="22"/>
        </w:rPr>
        <w:t>Administrator</w:t>
      </w:r>
      <w:r>
        <w:rPr>
          <w:rFonts w:ascii="Times New Roman;serif" w:hAnsi="Times New Roman;serif"/>
          <w:b w:val="false"/>
          <w:color w:val="000000"/>
          <w:sz w:val="22"/>
        </w:rPr>
        <w:t>) (som defineret i Planen) godkendte din tildeling og besluttede, at den skulle træde i kraft. Tidspunktet fremgår af Aftalen.</w:t>
      </w:r>
    </w:p>
    <w:p>
      <w:pPr>
        <w:pStyle w:val="TextBody"/>
        <w:bidi w:val="0"/>
        <w:spacing w:before="4"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2.</w:t>
      </w:r>
      <w:r>
        <w:rPr>
          <w:rFonts w:ascii="Times New Roman;serif" w:hAnsi="Times New Roman;serif"/>
          <w:b/>
          <w:color w:val="000000"/>
          <w:sz w:val="22"/>
        </w:rPr>
        <w:t>Kriterier og betingelser for RSU-tildelingen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Tildelingen af RSUer i henhold til Planen sker alene efter Administrators eget skøn. Medarbejdere (</w:t>
      </w:r>
      <w:r>
        <w:rPr>
          <w:rFonts w:ascii="Times New Roman;serif" w:hAnsi="Times New Roman;serif"/>
          <w:b w:val="false"/>
          <w:i/>
          <w:color w:val="000000"/>
          <w:sz w:val="22"/>
        </w:rPr>
        <w:t>Employees</w:t>
      </w:r>
      <w:r>
        <w:rPr>
          <w:rFonts w:ascii="Times New Roman;serif" w:hAnsi="Times New Roman;serif"/>
          <w:b w:val="false"/>
          <w:color w:val="000000"/>
          <w:sz w:val="22"/>
        </w:rPr>
        <w:t>) og Konsulenter (</w:t>
      </w:r>
      <w:r>
        <w:rPr>
          <w:rFonts w:ascii="Times New Roman;serif" w:hAnsi="Times New Roman;serif"/>
          <w:b w:val="false"/>
          <w:i/>
          <w:color w:val="000000"/>
          <w:sz w:val="22"/>
        </w:rPr>
        <w:t>Consultants</w:t>
      </w:r>
      <w:r>
        <w:rPr>
          <w:rFonts w:ascii="Times New Roman;serif" w:hAnsi="Times New Roman;serif"/>
          <w:b w:val="false"/>
          <w:color w:val="000000"/>
          <w:sz w:val="22"/>
        </w:rPr>
        <w:t>) (som defineret i Planen) i PANW og dettes Moderselskaber (</w:t>
      </w:r>
      <w:r>
        <w:rPr>
          <w:rFonts w:ascii="Times New Roman;serif" w:hAnsi="Times New Roman;serif"/>
          <w:b w:val="false"/>
          <w:i/>
          <w:color w:val="000000"/>
          <w:sz w:val="22"/>
        </w:rPr>
        <w:t>Parents</w:t>
      </w:r>
      <w:r>
        <w:rPr>
          <w:rFonts w:ascii="Times New Roman;serif" w:hAnsi="Times New Roman;serif"/>
          <w:b w:val="false"/>
          <w:color w:val="000000"/>
          <w:sz w:val="22"/>
        </w:rPr>
        <w:t>) og Datterselskaber (</w:t>
      </w:r>
      <w:r>
        <w:rPr>
          <w:rFonts w:ascii="Times New Roman;serif" w:hAnsi="Times New Roman;serif"/>
          <w:b w:val="false"/>
          <w:i/>
          <w:color w:val="000000"/>
          <w:sz w:val="22"/>
        </w:rPr>
        <w:t>Subsidiaries</w:t>
      </w:r>
      <w:r>
        <w:rPr>
          <w:rFonts w:ascii="Times New Roman;serif" w:hAnsi="Times New Roman;serif"/>
          <w:b w:val="false"/>
          <w:color w:val="000000"/>
          <w:sz w:val="22"/>
        </w:rPr>
        <w:t>) (som defineret i Planen) kan deltage i Planen.</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3.</w:t>
      </w:r>
      <w:r>
        <w:rPr>
          <w:rFonts w:ascii="Times New Roman;serif" w:hAnsi="Times New Roman;serif"/>
          <w:b/>
          <w:color w:val="000000"/>
          <w:sz w:val="22"/>
        </w:rPr>
        <w:t>Modningstidspunkt for RSUerne</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RSUerne modnes over en periode, forudsat at du fortsat er ansat i eller arbejder for Selskabet eller en tilknyttet virksomhed, medmindre RSUerne er modnet eller bortfaldet på et tidligere tidspunkt af de i Ordningen anførte årsager.</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4.</w:t>
      </w:r>
      <w:r>
        <w:rPr>
          <w:rFonts w:ascii="Times New Roman;serif" w:hAnsi="Times New Roman;serif"/>
          <w:b/>
          <w:color w:val="000000"/>
          <w:sz w:val="22"/>
        </w:rPr>
        <w:t>Udnyttelseskurs</w:t>
      </w:r>
    </w:p>
    <w:p>
      <w:pPr>
        <w:pStyle w:val="TextBody"/>
        <w:bidi w:val="0"/>
        <w:spacing w:lineRule="auto" w:line="288" w:before="240" w:after="283"/>
        <w:ind w:left="0" w:right="0" w:hanging="5"/>
        <w:jc w:val="both"/>
        <w:rPr>
          <w:rFonts w:ascii="Times New Roman;serif" w:hAnsi="Times New Roman;serif"/>
          <w:b w:val="false"/>
          <w:color w:val="000000"/>
          <w:sz w:val="22"/>
        </w:rPr>
      </w:pPr>
      <w:r>
        <w:rPr>
          <w:rFonts w:ascii="Times New Roman;serif" w:hAnsi="Times New Roman;serif"/>
          <w:b w:val="false"/>
          <w:color w:val="000000"/>
          <w:sz w:val="22"/>
        </w:rPr>
        <w:t>Der er ikke knyttet nogen udnyttelseskurs til RSUerne. Hver RSU giver dig i forbindelse med deres modning ret til at modtage én ordinær aktie i Selskabet, uden at det koster dig noget (bortset fra gældende skatter og afgifter).</w:t>
      </w:r>
    </w:p>
    <w:p>
      <w:pPr>
        <w:pStyle w:val="TextBody"/>
        <w:bidi w:val="0"/>
        <w:spacing w:before="2" w:after="283"/>
        <w:ind w:left="0" w:right="0" w:firstLine="720"/>
        <w:jc w:val="both"/>
        <w:rPr/>
      </w:pPr>
      <w:r>
        <w:rPr/>
      </w:r>
    </w:p>
    <w:p>
      <w:pPr>
        <w:pStyle w:val="TextBody"/>
        <w:bidi w:val="0"/>
        <w:spacing w:lineRule="auto" w:line="264" w:before="0" w:after="0"/>
        <w:ind w:left="0" w:right="0" w:hanging="567"/>
        <w:jc w:val="both"/>
        <w:rPr/>
      </w:pPr>
      <w:r>
        <w:rPr>
          <w:rFonts w:ascii="Times New Roman;serif" w:hAnsi="Times New Roman;serif"/>
          <w:b/>
          <w:color w:val="000000"/>
          <w:sz w:val="20"/>
        </w:rPr>
        <w:t>5.</w:t>
      </w:r>
      <w:r>
        <w:rPr>
          <w:rFonts w:ascii="Times New Roman;serif" w:hAnsi="Times New Roman;serif"/>
          <w:b/>
          <w:color w:val="000000"/>
          <w:sz w:val="22"/>
        </w:rPr>
        <w:t>Din retsstilling i forbindelse med ophør af din Ansættelsesstatus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Dine RSUer vil i tilfælde af ophør af din Ansættelsesstatus (som defineret i Planen) blive behandlet i overensstemmelse med ophørsbestemmelserne i Aftalen, ifølge hvilke eventuelle RSUer, som på tidspunktet for ophør af din Ansættelsesstatus (uanset årsag) ikke er modnet, normalt automatisk vil bortfalder.</w:t>
      </w:r>
    </w:p>
    <w:p>
      <w:pPr>
        <w:pStyle w:val="TextBody"/>
        <w:bidi w:val="0"/>
        <w:spacing w:before="2" w:after="283"/>
        <w:ind w:left="0" w:right="0" w:firstLine="720"/>
        <w:jc w:val="both"/>
        <w:rPr/>
      </w:pPr>
      <w:r>
        <w:rPr/>
      </w:r>
    </w:p>
    <w:p>
      <w:pPr>
        <w:pStyle w:val="TextBody"/>
        <w:bidi w:val="0"/>
        <w:spacing w:lineRule="auto" w:line="264" w:before="0" w:after="0"/>
        <w:ind w:left="0" w:right="0" w:hanging="568"/>
        <w:jc w:val="both"/>
        <w:rPr/>
      </w:pPr>
      <w:r>
        <w:rPr>
          <w:rFonts w:ascii="Times New Roman;serif" w:hAnsi="Times New Roman;serif"/>
          <w:b/>
          <w:color w:val="000000"/>
          <w:sz w:val="20"/>
        </w:rPr>
        <w:t>6.</w:t>
      </w:r>
      <w:r>
        <w:rPr>
          <w:rFonts w:ascii="Times New Roman;serif" w:hAnsi="Times New Roman;serif"/>
          <w:b/>
          <w:color w:val="000000"/>
          <w:sz w:val="22"/>
        </w:rPr>
        <w:t>Økonomiske aspekter ved at deltage i Planen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Tildelingen af RSUer har ingen umiddelbare økonomiske konsekvenser for dig. Værdien af RSUerne indgår ikke i beregningen af feriepenge, pensionsbidrag eller andre lovpligtige, vederlagsafhængige ydelser.</w:t>
      </w:r>
    </w:p>
    <w:p>
      <w:pPr>
        <w:pStyle w:val="TextBody"/>
        <w:bidi w:val="0"/>
        <w:spacing w:lineRule="auto" w:line="27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Aktier er finansielle instrumenter, og investering i aktier vil altid være forbundet med en økonomisk risiko. Den fremtidige værdi af PANW aktier kendes ikke og kan ikke forudsiges med sikkerhed.</w:t>
      </w:r>
    </w:p>
    <w:p>
      <w:pPr>
        <w:pStyle w:val="TextBody"/>
        <w:bidi w:val="0"/>
        <w:spacing w:before="2" w:after="283"/>
        <w:ind w:left="0" w:right="0" w:firstLine="720"/>
        <w:jc w:val="both"/>
        <w:rPr/>
      </w:pPr>
      <w:r>
        <w:rPr/>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Palo Alto Networks, Inc.</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3000 Tannery Way</w:t>
      </w:r>
    </w:p>
    <w:p>
      <w:pPr>
        <w:pStyle w:val="TextBody"/>
        <w:bidi w:val="0"/>
        <w:spacing w:lineRule="auto" w:line="288" w:before="2"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Santa Clara, CA 95054</w:t>
      </w:r>
    </w:p>
    <w:p>
      <w:pPr>
        <w:pStyle w:val="TextBody"/>
        <w:bidi w:val="0"/>
        <w:spacing w:before="0" w:after="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DOMINICAN REPUBLIC</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ECUADOR</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EGYPT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transfers funds into Egypt in connection with the Restricted Stock Units or Shares, Participant will be required to transfer the funds through a registered bank in Egypt.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FINLAND</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FRANCE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Award, Participant confirms having read and understood the Plan and Award Agreement which were provided in the English language. Participant accepts the terms of those documents accordingly.</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i/>
          <w:color w:val="000000"/>
          <w:sz w:val="22"/>
        </w:rPr>
        <w:t xml:space="preserve">Consentement Relatif à la Langue Utilisée. </w:t>
      </w:r>
      <w:r>
        <w:rPr>
          <w:rFonts w:ascii="Times New Roman;serif" w:hAnsi="Times New Roman;serif"/>
          <w:b w:val="false"/>
          <w:i/>
          <w:color w:val="000000"/>
          <w:sz w:val="22"/>
        </w:rPr>
        <w:t>En acceptant l’attribution, le Participant confirme avoir lu et compris le Plan et le Contrat, qui ont été communiqués en langue anglaise. Le Participant accepte les termes de ces documents en connaissance de cause.</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Tax Information. </w:t>
      </w:r>
      <w:r>
        <w:rPr>
          <w:rFonts w:ascii="Times New Roman;serif" w:hAnsi="Times New Roman;serif"/>
          <w:b w:val="false"/>
          <w:color w:val="000000"/>
          <w:sz w:val="22"/>
        </w:rPr>
        <w:t>The Restricted Stock Units are not intended to qualify for special tax or social security treatment in France.</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GERMANY</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Certain cross-border transactions in excess of a certain threshold (currently €50,000) (the “</w:t>
      </w:r>
      <w:r>
        <w:rPr>
          <w:rFonts w:ascii="Times New Roman;serif" w:hAnsi="Times New Roman;serif"/>
          <w:b w:val="false"/>
          <w:color w:val="000000"/>
          <w:sz w:val="22"/>
          <w:u w:val="single"/>
        </w:rPr>
        <w:t>Threshold</w:t>
      </w:r>
      <w:r>
        <w:rPr>
          <w:color w:val="000000"/>
        </w:rPr>
        <w:t>”</w:t>
      </w:r>
      <w:r>
        <w:rPr>
          <w:rFonts w:ascii="Times New Roman;serif" w:hAnsi="Times New Roman;serif"/>
          <w:b w:val="false"/>
          <w:color w:val="000000"/>
          <w:sz w:val="22"/>
        </w:rPr>
        <w:t>) must be reported to the German Federal Bank. (</w:t>
      </w:r>
      <w:r>
        <w:rPr>
          <w:rFonts w:ascii="Times New Roman;serif" w:hAnsi="Times New Roman;serif"/>
          <w:b w:val="false"/>
          <w:i/>
          <w:color w:val="000000"/>
          <w:sz w:val="22"/>
        </w:rPr>
        <w:t>Bundesbank</w:t>
      </w:r>
      <w:r>
        <w:rPr>
          <w:rFonts w:ascii="Times New Roman;serif" w:hAnsi="Times New Roman;serif"/>
          <w:b w:val="false"/>
          <w:color w:val="000000"/>
          <w:sz w:val="22"/>
        </w:rPr>
        <w:t xml:space="preserve">). If Participant makes or receives a payment in excess of the Threshold (including if Participant acquires Shares under the Plan with a value in excess of the Threshold or sells Shares via a foreign broker, bank or service provider and receives proceeds in excess of the Threshold) and/or if the Company withholds or sells Shares with a value in excess of the Threshold to cover Tax-Related Items, Participant must report the payment and/or the value of the Shares withheld or sold to the </w:t>
      </w:r>
      <w:r>
        <w:rPr>
          <w:rFonts w:ascii="Times New Roman;serif" w:hAnsi="Times New Roman;serif"/>
          <w:b w:val="false"/>
          <w:i/>
          <w:color w:val="000000"/>
          <w:sz w:val="22"/>
        </w:rPr>
        <w:t>Bundesbank</w:t>
      </w:r>
      <w:r>
        <w:rPr>
          <w:rFonts w:ascii="Times New Roman;serif" w:hAnsi="Times New Roman;serif"/>
          <w:b w:val="false"/>
          <w:color w:val="000000"/>
          <w:sz w:val="22"/>
        </w:rPr>
        <w:t>, either electronically using the “General Statistics Reporting Portal” (“</w:t>
      </w:r>
      <w:r>
        <w:rPr>
          <w:rFonts w:ascii="Times New Roman;serif" w:hAnsi="Times New Roman;serif"/>
          <w:b w:val="false"/>
          <w:i/>
          <w:color w:val="000000"/>
          <w:sz w:val="22"/>
        </w:rPr>
        <w:t>Allgemeine Meldeportal Statistik</w:t>
      </w:r>
      <w:r>
        <w:rPr>
          <w:color w:val="000000"/>
        </w:rPr>
        <w:t>”</w:t>
      </w:r>
      <w:r>
        <w:rPr>
          <w:rFonts w:ascii="Times New Roman;serif" w:hAnsi="Times New Roman;serif"/>
          <w:b w:val="false"/>
          <w:color w:val="000000"/>
          <w:sz w:val="22"/>
        </w:rPr>
        <w:t xml:space="preserve">) available via the </w:t>
      </w:r>
      <w:r>
        <w:rPr>
          <w:rFonts w:ascii="Times New Roman;serif" w:hAnsi="Times New Roman;serif"/>
          <w:b w:val="false"/>
          <w:i/>
          <w:color w:val="000000"/>
          <w:sz w:val="22"/>
        </w:rPr>
        <w:t xml:space="preserve">Bundesbank’s </w:t>
      </w:r>
      <w:r>
        <w:rPr>
          <w:rFonts w:ascii="Times New Roman;serif" w:hAnsi="Times New Roman;serif"/>
          <w:b w:val="false"/>
          <w:color w:val="000000"/>
          <w:sz w:val="22"/>
        </w:rPr>
        <w:t>website (</w:t>
      </w:r>
      <w:r>
        <w:rPr>
          <w:rFonts w:ascii="Times New Roman;serif" w:hAnsi="Times New Roman;serif"/>
          <w:b w:val="false"/>
          <w:color w:val="0000FF"/>
          <w:sz w:val="22"/>
        </w:rPr>
        <w:t>www.bundesbank.de</w:t>
      </w:r>
      <w:r>
        <w:rPr>
          <w:rFonts w:ascii="Times New Roman;serif" w:hAnsi="Times New Roman;serif"/>
          <w:b w:val="false"/>
          <w:color w:val="000000"/>
          <w:sz w:val="22"/>
        </w:rPr>
        <w:t>) or via such other method (</w:t>
      </w:r>
      <w:r>
        <w:rPr>
          <w:rFonts w:ascii="Times New Roman;serif" w:hAnsi="Times New Roman;serif"/>
          <w:b w:val="false"/>
          <w:i/>
          <w:color w:val="000000"/>
          <w:sz w:val="22"/>
        </w:rPr>
        <w:t>e.g.</w:t>
      </w:r>
      <w:r>
        <w:rPr>
          <w:rFonts w:ascii="Times New Roman;serif" w:hAnsi="Times New Roman;serif"/>
          <w:b w:val="false"/>
          <w:color w:val="000000"/>
          <w:sz w:val="22"/>
        </w:rPr>
        <w:t xml:space="preserve">, by email or telephone) as is permitted or required by the </w:t>
      </w:r>
      <w:r>
        <w:rPr>
          <w:rFonts w:ascii="Times New Roman;serif" w:hAnsi="Times New Roman;serif"/>
          <w:b w:val="false"/>
          <w:i/>
          <w:color w:val="000000"/>
          <w:sz w:val="22"/>
        </w:rPr>
        <w:t>Bundesbank</w:t>
      </w:r>
      <w:r>
        <w:rPr>
          <w:rFonts w:ascii="Times New Roman;serif" w:hAnsi="Times New Roman;serif"/>
          <w:b w:val="false"/>
          <w:color w:val="000000"/>
          <w:sz w:val="22"/>
        </w:rPr>
        <w:t xml:space="preserve">. The report must be submitted monthly or within such other timing as is permitted or required by the </w:t>
      </w:r>
      <w:r>
        <w:rPr>
          <w:rFonts w:ascii="Times New Roman;serif" w:hAnsi="Times New Roman;serif"/>
          <w:b w:val="false"/>
          <w:i/>
          <w:color w:val="000000"/>
          <w:sz w:val="22"/>
        </w:rPr>
        <w:t>Bundesbank</w:t>
      </w:r>
      <w:r>
        <w:rPr>
          <w:rFonts w:ascii="Times New Roman;serif" w:hAnsi="Times New Roman;serif"/>
          <w:b w:val="false"/>
          <w:color w:val="000000"/>
          <w:sz w:val="22"/>
        </w:rPr>
        <w:t>. Participant is responsible for complying with applicable reporting requirements.</w:t>
      </w:r>
    </w:p>
    <w:p>
      <w:pPr>
        <w:pStyle w:val="TextBody"/>
        <w:bidi w:val="0"/>
        <w:spacing w:before="240" w:after="283"/>
        <w:ind w:left="0" w:right="0" w:firstLine="7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GREECE</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HONG KONG</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the grant of Restricted Stock Units does not provide any right for Participant to receive a cash payment;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Sale of Shares</w:t>
      </w:r>
      <w:r>
        <w:rPr>
          <w:rFonts w:ascii="Times New Roman;serif" w:hAnsi="Times New Roman;serif"/>
          <w:b w:val="false"/>
          <w:color w:val="000000"/>
          <w:sz w:val="22"/>
        </w:rPr>
        <w:t>. For any Restricted Stock Units that vest within six months of the Date of Grant, Participant agrees that he or she will not dispose of the Shares acquired prior to the six-month anniversary of the Date of Grant.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Notice. </w:t>
      </w:r>
      <w:r>
        <w:rPr>
          <w:rFonts w:ascii="Times New Roman;serif" w:hAnsi="Times New Roman;serif"/>
          <w:b w:val="false"/>
          <w:i/>
          <w:color w:val="000000"/>
          <w:sz w:val="22"/>
        </w:rPr>
        <w:t xml:space="preserve">WARNING: The Restricted Stock Units and the Shares issued upon vesting do not constitute a public offering of securities under Hong Kong law and are available only to certain Service Providers. The Award Agreement, including this Addendum,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Restricted Stock Units are intended only for the personal use of each Participant and may not be distributed to any other person. If Participant is in any doubt about any of the contents of the Award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Agreement, including this Addendum, or the Plan, Participant should obtain independent professional advice.</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HUNGARY</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INDIA</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must repatriate any proceeds from the sale of Shares acquired under the Plan or the receipt of any dividends paid on such Shares to India and convert the proceeds into local currency within such period of time as required under applicable regulations. Participant will receive a foreign inward remittance certificate (“</w:t>
      </w:r>
      <w:r>
        <w:rPr>
          <w:rFonts w:ascii="Times New Roman;serif" w:hAnsi="Times New Roman;serif"/>
          <w:b w:val="false"/>
          <w:color w:val="000000"/>
          <w:sz w:val="22"/>
          <w:u w:val="single"/>
        </w:rPr>
        <w:t>FIRC</w:t>
      </w:r>
      <w:r>
        <w:rPr>
          <w:color w:val="000000"/>
        </w:rPr>
        <w:t>”</w:t>
      </w:r>
      <w:r>
        <w:rPr>
          <w:rFonts w:ascii="Times New Roman;serif" w:hAnsi="Times New Roman;serif"/>
          <w:b w:val="false"/>
          <w:color w:val="000000"/>
          <w:sz w:val="22"/>
        </w:rPr>
        <w:t>) from the bank where Participant deposits the foreign currency. Participant should maintain the FIRC as evidence of the repatriation of funds in the event the Reserve Bank of India or the Service Recipient requests proof of repatriation. Participant acknowledges that it is Participant’s responsibility to comply with applicable exchange control laws in India. Participant also agrees to provide any information that may be required by the Company or the Service Recipient to make any applicable filings under exchange control laws in India.</w:t>
      </w:r>
    </w:p>
    <w:p>
      <w:pPr>
        <w:pStyle w:val="TextBody"/>
        <w:bidi w:val="0"/>
        <w:spacing w:before="240" w:after="283"/>
        <w:ind w:left="0" w:right="0" w:firstLine="720"/>
        <w:jc w:val="both"/>
        <w:rPr/>
      </w:pPr>
      <w:r>
        <w:rPr/>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INDONESIA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and Notification. </w:t>
      </w:r>
      <w:r>
        <w:rPr>
          <w:rFonts w:ascii="Times New Roman;serif" w:hAnsi="Times New Roman;serif"/>
          <w:b w:val="false"/>
          <w:color w:val="000000"/>
          <w:sz w:val="22"/>
        </w:rPr>
        <w:t>By accepting the Restricted Stock Units, Participant (i) confirms having read and understood the documents relating to the grant (</w:t>
      </w:r>
      <w:r>
        <w:rPr>
          <w:rFonts w:ascii="Times New Roman;serif" w:hAnsi="Times New Roman;serif"/>
          <w:b w:val="false"/>
          <w:i/>
          <w:color w:val="000000"/>
          <w:sz w:val="22"/>
        </w:rPr>
        <w:t>i.e.</w:t>
      </w:r>
      <w:r>
        <w:rPr>
          <w:rFonts w:ascii="Times New Roman;serif" w:hAnsi="Times New Roman;serif"/>
          <w:b w:val="false"/>
          <w:color w:val="000000"/>
          <w:sz w:val="22"/>
        </w:rPr>
        <w:t>, the Notice of Grant, the Plan and the Award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Persetujuan dan Pemberitahuan Bahasa. </w:t>
      </w:r>
      <w:r>
        <w:rPr>
          <w:rFonts w:ascii="Times New Roman;serif" w:hAnsi="Times New Roman;serif"/>
          <w:b w:val="false"/>
          <w:i/>
          <w:color w:val="000000"/>
          <w:sz w:val="22"/>
        </w:rPr>
        <w:t>Dengan menerima pemberian Unit Saham Terbatas ini, Peserta (i) memberikan konfirmasi bahwa dirinya telah membaca dan memahami dokumen- 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Indonesian residents are obliged to provide the Indonesian central bank (Bank Indonesia) with information on foreign exchange activities. If there is any change to foreign assets held (including Shares acquired under the Plan), Participant must report such change online through Bank Indonesia’s website no later than the 15th day of the month following the month in which the foreign exchange activity took place.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if Participant remits proceeds from the sale of Shares or the receipt of any dividends paid on such Shares into Indonesia, the Indonesian bank through which the transaction is made will submit a report on the transaction to Bank Indonesia for statistical reporting purposes. For transactions that equal or exceed a certain threshold (currently US$10,000), a more detailed description of the transaction must be included in the report and Participant may be required to provide information about the transaction to the bank in order to complete the transaction.</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IRELAND</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Directors, shadow directors or secretaries of an Irish Parent or Subsidiary must notify the Irish Parent or Subsidiary in writing if they receive or dispose of an interest in the Company representing more than 1% of the Company’s voting share capital (</w:t>
      </w:r>
      <w:r>
        <w:rPr>
          <w:rFonts w:ascii="Times New Roman;serif" w:hAnsi="Times New Roman;serif"/>
          <w:b w:val="false"/>
          <w:i/>
          <w:color w:val="000000"/>
          <w:sz w:val="22"/>
        </w:rPr>
        <w:t xml:space="preserve">e.g., </w:t>
      </w:r>
      <w:r>
        <w:rPr>
          <w:rFonts w:ascii="Times New Roman;serif" w:hAnsi="Times New Roman;serif"/>
          <w:b w:val="false"/>
          <w:color w:val="000000"/>
          <w:sz w:val="22"/>
        </w:rPr>
        <w:t>Restricted Stock Unit granted under the Plan, Shares, etc.), if they become aware of the 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color w:val="000000"/>
          <w:sz w:val="22"/>
        </w:rPr>
      </w:pPr>
      <w:r>
        <w:rPr>
          <w:rFonts w:ascii="Times New Roman;serif" w:hAnsi="Times New Roman;serif"/>
          <w:b/>
          <w:color w:val="000000"/>
          <w:sz w:val="22"/>
        </w:rPr>
        <w:t>ISRAEL</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Data Privacy</w:t>
      </w:r>
      <w:r>
        <w:rPr>
          <w:rFonts w:ascii="Times New Roman;serif" w:hAnsi="Times New Roman;serif"/>
          <w:b w:val="false"/>
          <w:color w:val="000000"/>
          <w:sz w:val="22"/>
        </w:rPr>
        <w:t>. The following provision supplements the Data Privacy Provision set forth above: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authorizes the Company, the Trustee and their representatives to collect, use and transfer all relevant information regarding Participant and the Restricted Stock Units to all Company personnel and agents and or third parties involved in the administration of the Plan and/or in the event of a corporate financing, merger, acquisitions and/or business transfers, including transfers outside of Israel and further transfers thereafter.</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Capital Gains Track Trustee Award. </w:t>
      </w:r>
      <w:r>
        <w:rPr>
          <w:rFonts w:ascii="Times New Roman;serif" w:hAnsi="Times New Roman;serif"/>
          <w:b w:val="false"/>
          <w:i/>
          <w:color w:val="000000"/>
          <w:sz w:val="22"/>
        </w:rPr>
        <w:t>The following provisions apply if Participant is deemed to be a resident of the State of Israel for tax purposes or is otherwise subject to taxation in Israel with respect to the Restricted Stock Unit on the Date of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Capitalized terms used but not defined in these provisions or the Plan or the Award Agreement shall have the meanings ascribed to them in the Sub-Plan to the Plan for Israeli Participants (the “</w:t>
      </w:r>
      <w:r>
        <w:rPr>
          <w:rFonts w:ascii="Times New Roman;serif" w:hAnsi="Times New Roman;serif"/>
          <w:b w:val="false"/>
          <w:color w:val="000000"/>
          <w:sz w:val="22"/>
          <w:u w:val="single"/>
        </w:rPr>
        <w:t>Israel</w:t>
      </w:r>
      <w:r>
        <w:rPr>
          <w:color w:val="000000"/>
        </w:rPr>
        <w:t xml:space="preserve"> </w:t>
      </w:r>
      <w:r>
        <w:rPr>
          <w:rFonts w:ascii="Times New Roman;serif" w:hAnsi="Times New Roman;serif"/>
          <w:b w:val="false"/>
          <w:color w:val="000000"/>
          <w:sz w:val="22"/>
          <w:u w:val="single"/>
        </w:rPr>
        <w:t>Sub-Plan</w:t>
      </w:r>
      <w:r>
        <w:rPr>
          <w:color w:val="000000"/>
        </w:rPr>
        <w:t>”</w:t>
      </w:r>
      <w:r>
        <w:rPr>
          <w:rFonts w:ascii="Times New Roman;serif" w:hAnsi="Times New Roman;serif"/>
          <w:b w:val="false"/>
          <w:color w:val="000000"/>
          <w:sz w:val="22"/>
        </w:rPr>
        <w:t>).</w:t>
      </w:r>
    </w:p>
    <w:p>
      <w:pPr>
        <w:pStyle w:val="TextBody"/>
        <w:bidi w:val="0"/>
        <w:spacing w:before="2"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acknowledges and agrees that the Restricted Stock Units are subject to the Plan, the Israel Sub-Plan and Sections 102(b)(2) and (3) of the ITO, the Rules, and the Trust Agreement, a copy of which has been made available to Participant. Participant confirms that (a) Participant is familiar with the terms and provisions of Section 102 of the ITO, particularly the capital gains track described in subsection (b)(2) and (3) thereof, and agrees not to require the Trustee to release the Restricted Stock Units or to sell or transfer the Restricted Stock Units to Participant or any third party unless permitted to do so by Applicable Laws; (b) the terms and restrictions set forth in the Israel Sub-Plan will apply to the Restricted Stock Units in all respects, including without limitation with respect to mandatory withholding requirements for Tax-Related Items, and the rights and authorities of the Company, the Service Recipient and the Trustee with respect thereto, and (c) the Company, its affiliates, assignees and successors shall be under no duty to ensure, and no representation or commitment is made, that the Restricted Stock Units qualify or shall qualify under any particular tax treatment.</w:t>
      </w:r>
    </w:p>
    <w:p>
      <w:pPr>
        <w:pStyle w:val="TextBody"/>
        <w:bidi w:val="0"/>
        <w:spacing w:before="11"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acknowledges and agrees that Restricted Stock Units and any Shares issued upon vesting thereof shall be deposited with the Trustee, or shall be subject to a supervisory trustee arrangement approved by the ITA for the Trustee, in order to comply with the requirements of the capital gains track under Sections 102(b)(2) and (3) of the ITO.</w:t>
      </w:r>
    </w:p>
    <w:p>
      <w:pPr>
        <w:pStyle w:val="TextBody"/>
        <w:bidi w:val="0"/>
        <w:spacing w:before="10"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hereby undertakes to release the Trustee from any liability in respect of any action or decision duly taken and bona fide executed in relation to the Plan, Restricted Stock Units or Shares issued thereunder.</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Settlement of Restricted Stock Units and Sale of Shares</w:t>
      </w:r>
      <w:r>
        <w:rPr>
          <w:rFonts w:ascii="Times New Roman;serif" w:hAnsi="Times New Roman;serif"/>
          <w:b w:val="false"/>
          <w:color w:val="000000"/>
          <w:sz w:val="22"/>
        </w:rPr>
        <w:t xml:space="preserve">. </w:t>
      </w:r>
      <w:r>
        <w:rPr>
          <w:rFonts w:ascii="Times New Roman;serif" w:hAnsi="Times New Roman;serif"/>
          <w:b w:val="false"/>
          <w:i/>
          <w:color w:val="000000"/>
          <w:sz w:val="22"/>
        </w:rPr>
        <w:t>The following provisions apply if Participant was not an Israeli tax resident at the time of grant of the Restricted Stock Units and if the Restricted Stock Units do not qualify as Section 102 capital gains trustee track grants: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Unless otherwise determined by the Administrator, Participant agrees to the immediate sale of all Shares issued upon vesting of the Restricted Stock Units. Participant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agrees to sign any forms and/or consents required by the Company’s designated broker to effectuate the sale of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Company has obtained an exemption to the prospectus filing requirement from the Israeli Securities Authority. Accordingly, Restricted Stock Units will be granted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pursuant to an exemption from filing a Plan prospectus granted to the Company by the Israeli Securities Authority. Copies of the Plan and Form S-8 registration statement for the Plan filed with the U.S. Securities and Exchange Commission are available from the Company.</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ITALY</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Acknowledgement. </w:t>
      </w:r>
      <w:r>
        <w:rPr>
          <w:rFonts w:ascii="Times New Roman;serif" w:hAnsi="Times New Roman;serif"/>
          <w:b w:val="false"/>
          <w:color w:val="000000"/>
          <w:sz w:val="22"/>
        </w:rPr>
        <w:t>Participant acknowledges that he or she has read and specifically and expressly approves the following sections of the Agreement: Section 7 - Withholding of Taxes, Section 10 - Nature of Grant, Section 19 - Electronic Delivery and Participation, Section 21 - Agreement Severable, Section 24 - Forfeiture or Clawback, Section 25 - Governing Law and Venue, Section 26 - Language and Section 27 - Imposition of Other Requirements. In addition, Participant acknowledges that he or she has read and understands the Data Privacy Provisions for Participants in the European Union / European Economic Area / Switzerland / United Kingdom above in this Addendum.</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JAPAN</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KENYA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Tax Registration Information. </w:t>
      </w:r>
      <w:r>
        <w:rPr>
          <w:rFonts w:ascii="Times New Roman;serif" w:hAnsi="Times New Roman;serif"/>
          <w:b w:val="false"/>
          <w:color w:val="000000"/>
          <w:sz w:val="22"/>
        </w:rPr>
        <w:t>Under the Tax Procedure Act, 2015, Participant is required to complete and submit a tax registration application to the Commissioner of Income Tax within 30 days of first vesting of the Restricted Stock Units. The registration should be completed through the online portal “I TAX” and is a one-time only registration. Participant is solely responsible for ensuring compliance with all registration requirements in Kenya.</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KOREA</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Participant should consult with his or her personal legal advisor to determine his or her personal reporting obligations. </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KUWAIT</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Plan does not constitute the marketing or offering of securities in Kuwait pursuant to Law No. 7 of 2010 as amended (establishing the Capital Markets Authority) and its implementing regulations.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LATVIA</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LUXEMBOURG</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MALAYSIA</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The following provision replaces the Data Privacy Provisions for Participants Outside the European Union / European Economic Area / Switzerland / United Kingdom above in this Addendum:</w:t>
      </w:r>
    </w:p>
    <w:tbl>
      <w:tblPr>
        <w:tblW w:w="10205" w:type="dxa"/>
        <w:jc w:val="left"/>
        <w:tblInd w:w="0" w:type="dxa"/>
        <w:tblLayout w:type="fixed"/>
        <w:tblCellMar>
          <w:top w:w="28" w:type="dxa"/>
          <w:left w:w="28" w:type="dxa"/>
          <w:bottom w:w="28" w:type="dxa"/>
          <w:right w:w="28" w:type="dxa"/>
        </w:tblCellMar>
      </w:tblPr>
      <w:tblGrid>
        <w:gridCol w:w="3373"/>
        <w:gridCol w:w="814"/>
        <w:gridCol w:w="818"/>
        <w:gridCol w:w="3062"/>
        <w:gridCol w:w="884"/>
        <w:gridCol w:w="1254"/>
      </w:tblGrid>
      <w:tr>
        <w:trPr/>
        <w:tc>
          <w:tcPr>
            <w:tcW w:w="33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consents to the collection, use and transfer, in electronic or other form, of his or her personal data as described in this Award Agreement and any other Restricted Stock Unit grant materials by and among, as applicable, the Service Recipient, the Company and any Subsidiary for the exclusive purpose of implementing, administering and managing Participant’s participation in the Plan.</w:t>
            </w:r>
          </w:p>
        </w:tc>
        <w:tc>
          <w:tcPr>
            <w:tcW w:w="5200" w:type="dxa"/>
            <w:gridSpan w:val="3"/>
            <w:tcBorders/>
            <w:tcMar>
              <w:top w:w="0" w:type="dxa"/>
              <w:left w:w="0" w:type="dxa"/>
              <w:bottom w:w="0" w:type="dxa"/>
              <w:right w:w="0" w:type="dxa"/>
            </w:tcMar>
            <w:vAlign w:val="center"/>
          </w:tcPr>
          <w:p>
            <w:pPr>
              <w:pStyle w:val="TableContents"/>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Peserta bersetuju dengan pengumpulan, penggunaan dan pemindahan, dalam bentuk elektronik atau lain-lain, data peribadinya seperti yang dinyatakan dalam Perjanjian Penganugerahan ini dan apa-apa bahan geran Unit Saham Terbatas oleh dan di antara, sebagaimana yang berkenaan, Penerima Perkhidmatan, Syarikat, dan mana-mana Anak Syarikat bagi tujuan ekslusif untuk melaksanakan, mentadbir dan menguruskan penyertaan Peserta dalam Pelan tersebut.</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Participant may have previously provided the Company and the Service Recipient with, and the Company and the Service Recipient may hold, certain personal information about Participant, including, but not limited to, his or her name, home address and telephone number, email address, date of birth, social insurance, passport or other identification number, salary, nationality, job title, any shares of stock or directorships held in the Company, the fact and conditions of Participant’s participation in the Plan, details of all Restricted Stock Units or any other entitlement to shares of stock awarded, cancelled, exercised, vested, unvested or outstanding in Participant’s favor (“Data”), for the exclusive purpose of implementing, administering and managing the Plan.</w:t>
            </w:r>
          </w:p>
        </w:tc>
        <w:tc>
          <w:tcPr>
            <w:tcW w:w="5200" w:type="dxa"/>
            <w:gridSpan w:val="3"/>
            <w:tcBorders/>
            <w:tcMar>
              <w:top w:w="0" w:type="dxa"/>
              <w:left w:w="0" w:type="dxa"/>
              <w:bottom w:w="0" w:type="dxa"/>
              <w:right w:w="0" w:type="dxa"/>
            </w:tcMar>
            <w:vAlign w:val="center"/>
          </w:tcPr>
          <w:p>
            <w:pPr>
              <w:pStyle w:val="TableContents"/>
              <w:bidi w:val="0"/>
              <w:spacing w:lineRule="auto" w:line="240" w:before="240" w:after="283"/>
              <w:jc w:val="both"/>
              <w:rPr>
                <w:rFonts w:ascii="Times New Roman;serif" w:hAnsi="Times New Roman;serif"/>
                <w:b w:val="false"/>
                <w:i/>
                <w:color w:val="000000"/>
                <w:sz w:val="22"/>
              </w:rPr>
            </w:pPr>
            <w:r>
              <w:rPr>
                <w:rFonts w:ascii="Times New Roman;serif" w:hAnsi="Times New Roman;serif"/>
                <w:b w:val="false"/>
                <w:i/>
                <w:color w:val="000000"/>
                <w:sz w:val="22"/>
              </w:rPr>
              <w:t>Sebelum ini, Peserta mungkin telah membekalkan Syarikat dan Penerima Perkhidmatan dengan, dan Syarikat dan Penerima Perkhidmatan mungkin memegang, maklumat peribadi tertentu tentang Peserta, termasuk, tetapi tidak terhad kepada, namanya, alamat rumah dan nombor telefon, alamat emel, tarikh lahir, insurans sosial, nombor pasport atau nombor pengenalan lain, gaji, kewarganegaraan, jawatan, apa-apa syer dalam saham atau jawatan pengarah yang dipegang dalam Syarikat, fakta dan syarat-syarat penyertaan Peserta dalam Pelan tersebut, butir- butir semua Unit Saham Terbatas atau apa-apa hak lain untuk syer dalam saham yang dianugerahkan, dibatalkan, dilaksanakan, terletak hak, tidak diletak hak ataupun tertunggak bagi faedah Peserta (“Data”), untuk tujuan eksklusif bagi melaksanakan, mentadbir dan menguruskan Pelan tersebut.</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also authorizes any transfer of Data, as may be required, to E*TRADE Financial Services, Inc. (“E*TRADE”), which is assisting the Company with the implementation, administration and management of the Plan and/or with whom any Shares acquired upon vesting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2"/>
              </w:rPr>
            </w:pPr>
            <w:r>
              <w:rPr>
                <w:rFonts w:ascii="Times New Roman;serif" w:hAnsi="Times New Roman;serif"/>
                <w:b w:val="false"/>
                <w:i/>
                <w:color w:val="000000"/>
                <w:sz w:val="22"/>
              </w:rPr>
              <w:t xml:space="preserve">Peserta juga memberi kuasa untuk membuat apa- apa pemindahan Data, sebagaimana yang diperlukan, kepada E*TRADE Financial Services, Inc. (“E*TRADE”), yang membantu Syarikat dalam pelaksanaan, pentadbiran dan pengurusan Pelan tersebut dan/atau dengan sesiapa yang mendepositkan apa-apa Saham yang diperolehi melalui pemberian hak Unit-unit Saham Terbatas. Peserta mengakui bahawa penerima-penerima ini mungkin berada di negara Peserta atau di tempat lain, dan bahawa negara penerima (contohnya, Amerika Syarikat) mungkin mempunyai undang- undang privasi data dan perlindungan yang berbeza daripada negara Peserta, yang mungkin tidak boleh memberi tahap perlindungan yang sama kepada Data. </w:t>
            </w:r>
          </w:p>
        </w:tc>
      </w:tr>
      <w:tr>
        <w:trPr/>
        <w:tc>
          <w:tcPr>
            <w:tcW w:w="5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Participant understands that he or she may request a list with the names and addresses of any potential recipients of Data by contacting his or her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filling out the individual rights request online form at https://www.paloaltonetworks.com/legal-notices/privacy, or by sending an email to individualrights@paloaltonetworks.com. Further, Participant understands that he or she is providing the consents herein on a purely voluntary basis. If Participant does not consent, or if Participant later seeks to revoke the consent, his or her status and career with the Service Recipient will not be affected; the only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human resources representative.</w:t>
            </w:r>
          </w:p>
        </w:tc>
        <w:tc>
          <w:tcPr>
            <w:tcW w:w="5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2"/>
              </w:rPr>
            </w:pPr>
            <w:r>
              <w:rPr>
                <w:rFonts w:ascii="Times New Roman;serif" w:hAnsi="Times New Roman;serif"/>
                <w:b w:val="false"/>
                <w:i/>
                <w:color w:val="000000"/>
                <w:sz w:val="22"/>
              </w:rPr>
              <w:t>Peserta faham bahawa dia boleh meminta senarai nama dan alamat mana- mana penerima Data yang berpotensi dengan menghubungi wakil sumber manusianya.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tunggal untuk melaksanakan, mentadbir dan menguruskan penyertaan Peserta dalam Pelan tersebut. Peserta faham bahawa Data akan dipegang hanya untuk tempoh yang diperlukan untuk melaksanakan, mentadbir dan menguruskan penyertaannya dalam Pelan tersebut. Peserta faham bahawa dia boleh, pada bila-bila masa, melihat Data, meminta maklumat tambahan mengenai penyimpanan dan pemprosesan Data, meminta bahawa apa-apa pindaan-pindaan yang perlu dilaksanakan ke atas Data atau menolak atau menarik balik persetujuan dalam ini, dalam mana-mana kes, tanpa kos, dengan menghubungi secara bertulis wakil sumber manusianya, mengisi borang dalam talian permintaan hak individu di https://www.paloaltonetworks.com/legal-notices/privacy, atau menghantar e-mel ke individualrights@paloaltonetworks.com. Selanjutnya, Peserta memahami bahawa dia memberikan persetujuan di sini secara sukarela. Jika Peserta tidak bersetuju, atau jika Peserta kemudian membatalkan persetujuannya, status dan kerjayanya dengan Penerima Perkhidmatan tidak akan terjejas; satu-satunya akibat jika tidak bersetuju atau menarik balik persetujuan adalah bahawa Syarikat tidak akan dapat memberikan Unit-unit Saham Terbatas pada masa depan atau anugerah ekuiti lain kepada Peserta atau mentadbir atau mengekalkan anugerah tersebut. Oleh itu, Peserta faham bahawa keengganan atau penarikan balik persetujuannya boleh menjejaskan keupayaannya untuk mengambil bahagian dalam Pelan tersebut. Untuk maklumat lanjut mengenai akibat keengganan untuk memberikan keizinan atau penarikan balik keizinan, Peserta fahami bahawa dia boleh menghubungi wakil sumber manusianya.</w:t>
            </w:r>
          </w:p>
        </w:tc>
      </w:tr>
    </w:tbl>
    <w:p>
      <w:pPr>
        <w:pStyle w:val="TextBody"/>
        <w:bidi w:val="0"/>
        <w:spacing w:before="240" w:after="283"/>
        <w:ind w:left="0" w:right="0" w:firstLine="720"/>
        <w:jc w:val="both"/>
        <w:rPr/>
      </w:pPr>
      <w:r>
        <w:rPr/>
      </w:r>
    </w:p>
    <w:p>
      <w:pPr>
        <w:pStyle w:val="TextBody"/>
        <w:bidi w:val="0"/>
        <w:spacing w:lineRule="auto" w:line="288" w:before="90" w:after="283"/>
        <w:ind w:left="0" w:right="0" w:firstLine="18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 xml:space="preserve">If Participant is a director of a Malaysian Parent or Subsidiary, Participant is subject to certain notification requirements under the Malaysian Companies Act 2016. Among these requirements is an obligation to notify the Malaysian Parent or Subsidiary in writing when </w:t>
      </w:r>
    </w:p>
    <w:p>
      <w:pPr>
        <w:pStyle w:val="TextBody"/>
        <w:bidi w:val="0"/>
        <w:spacing w:lineRule="auto" w:line="288" w:before="240" w:after="283"/>
        <w:jc w:val="both"/>
        <w:rPr/>
      </w:pPr>
      <w:r>
        <w:rPr>
          <w:rFonts w:ascii="Times New Roman;serif" w:hAnsi="Times New Roman;serif"/>
          <w:b w:val="false"/>
          <w:color w:val="000000"/>
          <w:sz w:val="22"/>
        </w:rPr>
        <w:t>Participant receives or disposes of an interest (</w:t>
      </w:r>
      <w:r>
        <w:rPr>
          <w:rFonts w:ascii="Times New Roman;serif" w:hAnsi="Times New Roman;serif"/>
          <w:b w:val="false"/>
          <w:i/>
          <w:color w:val="000000"/>
          <w:sz w:val="22"/>
        </w:rPr>
        <w:t>e.g.</w:t>
      </w:r>
      <w:r>
        <w:rPr>
          <w:rFonts w:ascii="Times New Roman;serif" w:hAnsi="Times New Roman;serif"/>
          <w:b w:val="false"/>
          <w:color w:val="000000"/>
          <w:sz w:val="22"/>
        </w:rPr>
        <w:t>, Restricted Stock Units or Shares) in the Company or any related company. Such notifications must be made within 14 days of receiving or disposing of any interest in the Company or any related company.</w:t>
      </w:r>
    </w:p>
    <w:p>
      <w:pPr>
        <w:pStyle w:val="TextBody"/>
        <w:bidi w:val="0"/>
        <w:spacing w:before="240" w:after="283"/>
        <w:ind w:left="0" w:right="0" w:firstLine="720"/>
        <w:jc w:val="both"/>
        <w:rPr/>
      </w:pPr>
      <w:r>
        <w:rPr/>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MEXICO</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Acknowledgement of the Award Agreement. </w:t>
      </w:r>
      <w:r>
        <w:rPr>
          <w:rFonts w:ascii="Times New Roman;serif" w:hAnsi="Times New Roman;serif"/>
          <w:b w:val="false"/>
          <w:color w:val="000000"/>
          <w:sz w:val="22"/>
        </w:rPr>
        <w:t>By accepting the Restricted Stock Units, Participant acknowledges that he or she has received a copy of the Plan and the Award Agreement, including this Addendum, which he or she has reviewed. Participant further acknowledges that he or she accepts all the provisions of the Plan and the Award Agreement, including this Addendum. Participant also acknowledges that he or she has read and specifically and expressly approves the terms and conditions set forth in the “Nature of Grant” section of the Terms and Conditions of Global Restricted Stock Unit Grant, which clearly provide as follows:</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(1)</w:t>
      </w:r>
      <w:r>
        <w:rPr>
          <w:rFonts w:ascii="Times New Roman;serif" w:hAnsi="Times New Roman;serif"/>
          <w:b w:val="false"/>
          <w:color w:val="000000"/>
          <w:sz w:val="22"/>
        </w:rPr>
        <w:t>Participant’s participation in the Plan does not constitute an acquired right;</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(2)</w:t>
      </w:r>
      <w:r>
        <w:rPr>
          <w:rFonts w:ascii="Times New Roman;serif" w:hAnsi="Times New Roman;serif"/>
          <w:b w:val="false"/>
          <w:color w:val="000000"/>
          <w:sz w:val="22"/>
        </w:rPr>
        <w:t>The Plan and Participant’s participation in it are offered by the Company on a wholly discretionary basis;</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(3)</w:t>
      </w:r>
      <w:r>
        <w:rPr>
          <w:rFonts w:ascii="Times New Roman;serif" w:hAnsi="Times New Roman;serif"/>
          <w:b w:val="false"/>
          <w:color w:val="000000"/>
          <w:sz w:val="22"/>
        </w:rPr>
        <w:t>Participant’s participation in the Plan is voluntary; and</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color w:val="000000"/>
          <w:sz w:val="24"/>
        </w:rPr>
        <w:t>(4)</w:t>
      </w:r>
      <w:r>
        <w:rPr>
          <w:rFonts w:ascii="Times New Roman;serif" w:hAnsi="Times New Roman;serif"/>
          <w:b w:val="false"/>
          <w:color w:val="000000"/>
          <w:sz w:val="22"/>
        </w:rPr>
        <w:t>The Company and any of its Parent and Subsidiaries are not responsible for any decrease in the value of any Shares acquired under the Plan.</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Labor Law Acknowledgement and Policy Statement. </w:t>
      </w:r>
      <w:r>
        <w:rPr>
          <w:rFonts w:ascii="Times New Roman;serif" w:hAnsi="Times New Roman;serif"/>
          <w:b w:val="false"/>
          <w:color w:val="000000"/>
          <w:sz w:val="22"/>
        </w:rPr>
        <w:t>By accepting the Restricted Stock Units, Participant acknowledges that the Company, with registered offices at 3000 Tannery Way, Santa Clara, CA 95054, U.S.A., is solely responsible for the administration of the Plan. Participant further acknowledges that his or her participation in the Plan, the grant of Restricted Stock Units and any acquisition of Shares under the Plan do not constitute an employment relationship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Service Recipient and do not form part of the employment conditions and/or benefits provided by the Service Recipient, and any modification of the Plan or its termination shall not constitute a change or impairment of the terms and conditions of Participant’s employment.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Spanish Translation</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Reconocimiento del Convenio de Concesión</w:t>
      </w:r>
      <w:r>
        <w:rPr>
          <w:rFonts w:ascii="Times New Roman;serif" w:hAnsi="Times New Roman;serif"/>
          <w:b w:val="false"/>
          <w:i/>
          <w:color w:val="000000"/>
          <w:sz w:val="22"/>
        </w:rPr>
        <w:t>. Al aceptar las Unidades de Acciones Restringidas (“</w:t>
      </w:r>
      <w:r>
        <w:rPr>
          <w:rFonts w:ascii="Times New Roman;serif" w:hAnsi="Times New Roman;serif"/>
          <w:b w:val="false"/>
          <w:i/>
          <w:color w:val="000000"/>
          <w:sz w:val="22"/>
          <w:u w:val="single"/>
        </w:rPr>
        <w:t>Unidades</w:t>
      </w:r>
      <w:r>
        <w:rPr>
          <w:color w:val="000000"/>
        </w:rPr>
        <w:t>”</w:t>
      </w:r>
      <w:r>
        <w:rPr>
          <w:rFonts w:ascii="Times New Roman;serif" w:hAnsi="Times New Roman;serif"/>
          <w:b w:val="false"/>
          <w:i/>
          <w:color w:val="000000"/>
          <w:sz w:val="22"/>
        </w:rPr>
        <w:t>), el Beneficiario reconoce que ha recibido y revisado una copia del Plan y del Convenio de Concesión, incluyendo este Apéndice. El Beneficiario reconoce y acepta todas las disposiciones del Plan y del Convenio de Concesión, incluyendo el apéndice. El Beneficiario también reconoce que ha leído y aprobado de forma expresa los términos y condiciones establecidos en la sección: “Nature of Grant” del Convenio de Concesión, que claramente establece lo siguiente:</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(1)</w:t>
      </w:r>
      <w:r>
        <w:rPr>
          <w:rFonts w:ascii="Times New Roman;serif" w:hAnsi="Times New Roman;serif"/>
          <w:b w:val="false"/>
          <w:i/>
          <w:color w:val="000000"/>
          <w:sz w:val="22"/>
        </w:rPr>
        <w:t>La participación del Beneficiario en el Plan no constituye un derecho adquirido;</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(2)</w:t>
      </w:r>
      <w:r>
        <w:rPr>
          <w:rFonts w:ascii="Times New Roman;serif" w:hAnsi="Times New Roman;serif"/>
          <w:b w:val="false"/>
          <w:i/>
          <w:color w:val="000000"/>
          <w:sz w:val="22"/>
        </w:rPr>
        <w:t>El Plan y la participación del Beneficiario en él es ofrecido por la Compañía de manera completamente discrecional;</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(3)</w:t>
      </w:r>
      <w:r>
        <w:rPr>
          <w:rFonts w:ascii="Times New Roman;serif" w:hAnsi="Times New Roman;serif"/>
          <w:b w:val="false"/>
          <w:i/>
          <w:color w:val="000000"/>
          <w:sz w:val="22"/>
        </w:rPr>
        <w:t>La participación del Beneficiario en el Plan es voluntaria; y</w:t>
      </w:r>
    </w:p>
    <w:p>
      <w:pPr>
        <w:pStyle w:val="TextBody"/>
        <w:bidi w:val="0"/>
        <w:spacing w:before="10" w:after="283"/>
        <w:ind w:left="0" w:right="0" w:firstLine="720"/>
        <w:jc w:val="both"/>
        <w:rPr/>
      </w:pPr>
      <w:r>
        <w:rPr/>
      </w:r>
    </w:p>
    <w:p>
      <w:pPr>
        <w:pStyle w:val="TextBody"/>
        <w:bidi w:val="0"/>
        <w:spacing w:lineRule="auto" w:line="288" w:before="0" w:after="0"/>
        <w:ind w:left="0" w:right="0" w:hanging="721"/>
        <w:jc w:val="both"/>
        <w:rPr/>
      </w:pPr>
      <w:r>
        <w:rPr>
          <w:rFonts w:ascii="Times New Roman;serif" w:hAnsi="Times New Roman;serif"/>
          <w:b w:val="false"/>
          <w:i/>
          <w:color w:val="000000"/>
          <w:sz w:val="24"/>
        </w:rPr>
        <w:t>(4)</w:t>
      </w:r>
      <w:r>
        <w:rPr>
          <w:rFonts w:ascii="Times New Roman;serif" w:hAnsi="Times New Roman;serif"/>
          <w:b w:val="false"/>
          <w:i/>
          <w:color w:val="000000"/>
          <w:sz w:val="22"/>
        </w:rPr>
        <w:t>La Compañía y su Padre y sus Subsidiarias no son responsables por ninguna disminución en el valor de las Acciones adquiridas en virtud del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Reconocimiento del Derecho Laboral y Declaración de la Política</w:t>
      </w:r>
      <w:r>
        <w:rPr>
          <w:rFonts w:ascii="Times New Roman;serif" w:hAnsi="Times New Roman;serif"/>
          <w:b w:val="false"/>
          <w:i/>
          <w:color w:val="000000"/>
          <w:sz w:val="22"/>
        </w:rPr>
        <w:t>. Al aceptar el otorgamiento de las Unidades, el Beneficiario reconoce que la Compañía, con domicilio social en 3000 Tannery Way, Santa Clara, CA 95054, E.U.A., es la única responsable de la administración del Plan. Además, el Beneficiario reconoce que su participación en el Plan, la concesión de las Unidades y cualquier adquisición de Acciones en virtud del Plan no constituyen una relación laboral entre el Beneficiario y la Compañía, en virtud de que el Beneficiario está participando en el Plan sobre una base totalmente comercial. Por lo anterior, el Beneficiario expresamente reconoce que el Plan y los beneficios que puedan derivarse de su participación no establecen ningún derecho entre el Beneficiario y el Empleador y que no forman parte de las condiciones de trabajo y/o beneficios otorgados por el Empleador, y cualquier modificación del Plan o la terminación no constituirá un cambio o modificación de los términos y condiciones en el empleo del Beneficiario.</w:t>
      </w:r>
    </w:p>
    <w:p>
      <w:pPr>
        <w:pStyle w:val="TextBody"/>
        <w:bidi w:val="0"/>
        <w:spacing w:before="11"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Además, el Beneficiario comprende que su participación en el Plan es el resultado de una decisión discrecional y unilateral de la Compañía, por lo que la misma se reserva el derecho absoluto de modificar y/o suspender la participación del Beneficiario en el Plan en cualquier momento, sin responsabilidad alguna del Beneficiario.</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 xml:space="preserve">Finalmente, el Beneficiario manifiesta que no se reserva acción o derecho alguno que origine una demanda en contra de la Compañía, por cualquier indemnización o daño relacionado con las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disposiciones del Plan o de los beneficios otorgados en el mismo, y en consecuencia el Beneficiario libera de la manera más amplia y total de responsabilidad a la Compañía, sus padre, subsidiarias, sucursales, oficinas de representación, sus accionistas, directores, agentes y representantes legales con respecto a cualquier demanda que pudiera surgir.</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Restricted Stock Units granted, and any Shares acquired, under the Plan have not been registered with the National Register of Securities maintained by the Mexican National Banking and Securities Commission and cannot be offered or sold publicly in Mexico. In addition, the Plan, Award Agreement and any other document relating to the Restricted Stock Units may not be publicly distributed in Mexico. These materials are addressed to Participant because of his or her existing relationship with the Company and these materials should not be reproduced or copied in any form. The offer contained in these materials does not constitute a public offering of securities, but rather a private placement of securities addressed specifically to individuals who are present Service Providers made in accordance with the provisions of the Mexican Securities Market Law, and any rights under such offering shall not be assigned or transferred.</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NETHERLANDS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NEW ZEALAND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lineRule="auto" w:line="288" w:before="214"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WARNING: Participant is being offered Restricted Stock Units which, if vested, will entitle Participant to acquire Shares in accordance with the terms of the Award Agreement and the Plan. The Shares, if issued, will give Participant a stake in the ownership of the Company. Participant may receive a return if dividends are paid.</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Company runs into financial difficulties and is wound up, Participant will be paid only after all creditors have been paid. Participant may lose some or all of Participant’s investment, if any.</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scheme. As a result, Participant may not be given all the information usually required. Participant will also have fewer other legal protections for this investment. Participant should ask questions, read all documents carefully, and seek independent financial advice before committing.</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Shares are quoted on The Nasdaq Global Select Market (“</w:t>
      </w:r>
      <w:r>
        <w:rPr>
          <w:rFonts w:ascii="Times New Roman;serif" w:hAnsi="Times New Roman;serif"/>
          <w:b w:val="false"/>
          <w:color w:val="000000"/>
          <w:sz w:val="22"/>
          <w:u w:val="single"/>
        </w:rPr>
        <w:t>Nasdaq</w:t>
      </w:r>
      <w:r>
        <w:rPr>
          <w:color w:val="000000"/>
        </w:rPr>
        <w:t>”</w:t>
      </w:r>
      <w:r>
        <w:rPr>
          <w:rFonts w:ascii="Times New Roman;serif" w:hAnsi="Times New Roman;serif"/>
          <w:b w:val="false"/>
          <w:color w:val="000000"/>
          <w:sz w:val="22"/>
        </w:rPr>
        <w:t>). This means that if Participant acquires Shares under the Plan, Participant may be able to sell the Shares on the Nasdaq if there are interested buyers. Participant may get less than Participant invested. The price will depend on the demand for the Shares.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For information on risk factors impacting the Company’s business that may affect the value of the Shares, Participant should refer to the risk factors discussion on the Company’s Annual Report on Form 10-K and Quarterly Reports on Form 10-Q, which are filed with the U.S. Securities and Exchange Commission and are available online at </w:t>
      </w:r>
      <w:r>
        <w:rPr>
          <w:rFonts w:ascii="Times New Roman;serif" w:hAnsi="Times New Roman;serif"/>
          <w:b w:val="false"/>
          <w:color w:val="0000FF"/>
          <w:sz w:val="22"/>
          <w:u w:val="single"/>
        </w:rPr>
        <w:t>www.sec.gov</w:t>
      </w:r>
      <w:r>
        <w:rPr>
          <w:rFonts w:ascii="Times New Roman;serif" w:hAnsi="Times New Roman;serif"/>
          <w:b w:val="false"/>
          <w:color w:val="000000"/>
          <w:sz w:val="22"/>
        </w:rPr>
        <w:t xml:space="preserve">, as well as on the Company’s “Investor Relations” website at </w:t>
      </w:r>
      <w:r>
        <w:rPr>
          <w:rFonts w:ascii="Times New Roman;serif" w:hAnsi="Times New Roman;serif"/>
          <w:b w:val="false"/>
          <w:color w:val="0000FF"/>
          <w:sz w:val="22"/>
          <w:u w:val="single"/>
        </w:rPr>
        <w:t>http://investors.paloaltonetworks.com/</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NIGERIA</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NORWAY</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PANAMA</w:t>
      </w:r>
    </w:p>
    <w:p>
      <w:pPr>
        <w:pStyle w:val="TextBody"/>
        <w:bidi w:val="0"/>
        <w:spacing w:before="10"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Restricted Stock Units and any underlying Shares issued at vesting are not subject to registration under Panamanian law as they are not intended for the public, but solely for Participant’s benefit.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PERU</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Acknowledgment. </w:t>
      </w:r>
      <w:r>
        <w:rPr>
          <w:rFonts w:ascii="Times New Roman;serif" w:hAnsi="Times New Roman;serif"/>
          <w:b w:val="false"/>
          <w:color w:val="000000"/>
          <w:sz w:val="22"/>
        </w:rPr>
        <w:t xml:space="preserve">By accepting the Restricted Stock Units, Participant acknowledges that the Restricted Stock Units are being granted </w:t>
      </w:r>
      <w:r>
        <w:rPr>
          <w:rFonts w:ascii="Times New Roman;serif" w:hAnsi="Times New Roman;serif"/>
          <w:b w:val="false"/>
          <w:i/>
          <w:color w:val="000000"/>
          <w:sz w:val="22"/>
        </w:rPr>
        <w:t xml:space="preserve">ex gratia </w:t>
      </w:r>
      <w:r>
        <w:rPr>
          <w:rFonts w:ascii="Times New Roman;serif" w:hAnsi="Times New Roman;serif"/>
          <w:b w:val="false"/>
          <w:color w:val="000000"/>
          <w:sz w:val="22"/>
        </w:rPr>
        <w:t>to Participant with the purpose of rewarding Participant.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offer of Restricted Stock Units is considered a private offering in Peru. Therefore, it is not subject to registration.</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PHILIPPINES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Necessary Approvals. </w:t>
      </w:r>
      <w:r>
        <w:rPr>
          <w:rFonts w:ascii="Times New Roman;serif" w:hAnsi="Times New Roman;serif"/>
          <w:b w:val="false"/>
          <w:color w:val="000000"/>
          <w:sz w:val="22"/>
        </w:rPr>
        <w:t>The offering of the Plan and the grant of the Restricted Stock Units may be subject to certain securities approval/confirmation requirements in the Philippines with the Philippine Securities and Exchange Commission. If the Company has not obtained, or does not maintain, the necessary securities approval/confirmation prior to the vesting of the Restricted Stock Units, Participant will not vest in the Restricted Stock Units and no Shares subject to the Restricted Stock Units will be issued. Restricted Stock Units shall vest and Shares shall be issued in settlement of the Restricted Stock Units only if and when all necessary securities approvals/confirmations have been obtained and are maintained.</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Participant should be aware of the risks of participating in the Plan, which include (without limitation) the risk of fluctuation in the price of the Shares on The Nasdaq Global Select Market and the risk of currency fluctuations between the U.S. dollar and Participant’s local currency. In this regard, Participant should note that the value of any Shares Participant may acquire under the Plan may decrease after the Shares are issued, and fluctuations in foreign exchange rates between Participant’s local currency and the U.S. dollar may affect the value of the Restricted Stock Units or any amounts due to Participant pursuant to the vesting of the Restricted Stock Units or the subsequent sale of any Shares acquired upon vesting. The Company is not making any representations, projections or assurances about the value of the Shares now or in the future.</w:t>
      </w:r>
    </w:p>
    <w:p>
      <w:pPr>
        <w:pStyle w:val="TextBody"/>
        <w:bidi w:val="0"/>
        <w:spacing w:before="11"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For further information on risk factors impacting the Company’s business that may affect the value of the Shares, Participant should refer to the risk factors discussion in the Company’s Annual Report on Form 10-K and Quarterly Reports on Form 10-Q, which are filed with the U.S. Securities and Exchange Commission and are available online at </w:t>
      </w:r>
      <w:r>
        <w:rPr>
          <w:rFonts w:ascii="Times New Roman;serif" w:hAnsi="Times New Roman;serif"/>
          <w:b w:val="false"/>
          <w:color w:val="0000FF"/>
          <w:sz w:val="22"/>
          <w:u w:val="single"/>
        </w:rPr>
        <w:t>www.sec.gov</w:t>
      </w:r>
      <w:r>
        <w:rPr>
          <w:rFonts w:ascii="Times New Roman;serif" w:hAnsi="Times New Roman;serif"/>
          <w:b w:val="false"/>
          <w:color w:val="000000"/>
          <w:sz w:val="22"/>
        </w:rPr>
        <w:t xml:space="preserve">, as well as on the Company’s website at </w:t>
      </w:r>
      <w:r>
        <w:rPr>
          <w:rFonts w:ascii="Times New Roman;serif" w:hAnsi="Times New Roman;serif"/>
          <w:b w:val="false"/>
          <w:color w:val="0000FF"/>
          <w:sz w:val="22"/>
          <w:u w:val="single"/>
        </w:rPr>
        <w:t>https://investors.paloaltonetworks.com/</w:t>
      </w:r>
      <w:r>
        <w:rPr>
          <w:rFonts w:ascii="Times New Roman;serif" w:hAnsi="Times New Roman;serif"/>
          <w:b w:val="false"/>
          <w:color w:val="000000"/>
          <w:sz w:val="22"/>
        </w:rPr>
        <w:t>. In addition, Participant may receive, free of charge, a copy of the Company’s Annual Report, Quarterly Reports or any other reports, proxy statements or communications distributed to the Company’s stockholders by contacting Investor Relations at Palo Alto Networks, Inc., 3000 Tannery Way, Santa Clara, California 95054 U.S.A. and at +1 (408) 753-4000.</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Participant acknowledges that he or she is permitted to sell Shares acquired under the Plan through the designated Plan broker appointed by the Company (or such other broker to whom Participant transfers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Shares), provided that such sale takes place outside of the Philippines through the facilities of The Nasdaq Global Select Market on which the Shares are listed.</w:t>
      </w:r>
    </w:p>
    <w:p>
      <w:pPr>
        <w:pStyle w:val="TextBody"/>
        <w:bidi w:val="0"/>
        <w:spacing w:before="240" w:after="283"/>
        <w:ind w:left="0" w:right="0" w:firstLine="720"/>
        <w:jc w:val="both"/>
        <w:rPr/>
      </w:pPr>
      <w:r>
        <w:rPr/>
      </w:r>
    </w:p>
    <w:p>
      <w:pPr>
        <w:pStyle w:val="TextBody"/>
        <w:bidi w:val="0"/>
        <w:spacing w:lineRule="auto" w:line="288" w:before="240" w:after="283"/>
        <w:ind w:left="0" w:right="0" w:firstLine="180"/>
        <w:jc w:val="both"/>
        <w:rPr>
          <w:rFonts w:ascii="Times New Roman;serif" w:hAnsi="Times New Roman;serif"/>
          <w:b/>
          <w:color w:val="000000"/>
          <w:sz w:val="22"/>
        </w:rPr>
      </w:pPr>
      <w:r>
        <w:rPr>
          <w:rFonts w:ascii="Times New Roman;serif" w:hAnsi="Times New Roman;serif"/>
          <w:b/>
          <w:color w:val="000000"/>
          <w:sz w:val="22"/>
        </w:rPr>
        <w:t>POLAND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Exchange Control Information</w:t>
      </w:r>
      <w:r>
        <w:rPr>
          <w:rFonts w:ascii="Times New Roman;serif" w:hAnsi="Times New Roman;serif"/>
          <w:b w:val="false"/>
          <w:color w:val="000000"/>
          <w:sz w:val="22"/>
        </w:rPr>
        <w:t>. If Participant holds foreign securities (including Shares) and maintains accounts abroad, Participant may be required to file certain reports with the National Bank of Poland. Specifically, if the value of securities and cash held in such foreign accounts exceeds PLN 7 million, Participant must file reports on the transactions and balances of the accounts on a quarterly basis. Further, any fund transfers in excess of a certain threshold (currently €15,000 (or PLN 15,000 if such transfer of funds is connected with business activity of an entrepreneur)) into or out of Poland must be effected through a bank in Poland. Polish residents are required to store all documents related to foreign exchange transactions for a period of five years.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PORTUGAL</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Participant hereby expressly declares that Participant has full knowledge of the English language and has read, understood and fully accepted and agreed with the terms and conditions established in the Plan and Award Agreement.</w:t>
      </w:r>
    </w:p>
    <w:p>
      <w:pPr>
        <w:pStyle w:val="TextBody"/>
        <w:bidi w:val="0"/>
        <w:spacing w:lineRule="auto" w:line="288" w:before="221" w:after="283"/>
        <w:ind w:left="0" w:right="0" w:firstLine="720"/>
        <w:jc w:val="both"/>
        <w:rPr/>
      </w:pPr>
      <w:r>
        <w:rPr>
          <w:rFonts w:ascii="Times New Roman;serif" w:hAnsi="Times New Roman;serif"/>
          <w:b/>
          <w:color w:val="000000"/>
          <w:sz w:val="22"/>
        </w:rPr>
        <w:t xml:space="preserve">Conhecimento da Lingua. </w:t>
      </w:r>
      <w:r>
        <w:rPr>
          <w:rFonts w:ascii="Times New Roman;serif" w:hAnsi="Times New Roman;serif"/>
          <w:b w:val="false"/>
          <w:i/>
          <w:color w:val="000000"/>
          <w:sz w:val="22"/>
        </w:rPr>
        <w:t>Por meio do presente, eu declaro expressamente que tem pleno conhecimento da língua inglesa e que li, compreendi e livremente aceitei e concordei com os termos e condições estabelecidas no Plano e no Acordo.</w:t>
      </w:r>
    </w:p>
    <w:p>
      <w:pPr>
        <w:pStyle w:val="TextBody"/>
        <w:bidi w:val="0"/>
        <w:spacing w:before="1"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If Participant is a resident of Portugal and he or she receives Shares, the acquisition of such Shares should be reported to the </w:t>
      </w:r>
      <w:r>
        <w:rPr>
          <w:rFonts w:ascii="Times New Roman;serif" w:hAnsi="Times New Roman;serif"/>
          <w:b w:val="false"/>
          <w:i/>
          <w:color w:val="000000"/>
          <w:sz w:val="22"/>
        </w:rPr>
        <w:t>Banco de Portugal</w:t>
      </w:r>
      <w:r>
        <w:rPr>
          <w:color w:val="000000"/>
        </w:rPr>
        <w:t xml:space="preserve"> </w:t>
      </w:r>
      <w:r>
        <w:rPr>
          <w:rFonts w:ascii="Times New Roman;serif" w:hAnsi="Times New Roman;serif"/>
          <w:b w:val="false"/>
          <w:color w:val="000000"/>
          <w:sz w:val="22"/>
        </w:rPr>
        <w:t xml:space="preserve">for statistical purposes. If the Shares are deposited with a commercial bank or financial intermediary in Portugal, such bank or financial intermediary will submit the report to the Banco de Portugal. If the Shares are not deposited with a commercial bank, broker or financial intermediary in Portugal, Participant will be responsible for submitting the report to the </w:t>
      </w:r>
      <w:r>
        <w:rPr>
          <w:rFonts w:ascii="Times New Roman;serif" w:hAnsi="Times New Roman;serif"/>
          <w:b w:val="false"/>
          <w:i/>
          <w:color w:val="000000"/>
          <w:sz w:val="22"/>
        </w:rPr>
        <w:t>Banco de Portugal</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QATAR</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are no country-specific provisions.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ROMANIA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Vesting Schedule. </w:t>
      </w:r>
      <w:r>
        <w:rPr>
          <w:rFonts w:ascii="Times New Roman;serif" w:hAnsi="Times New Roman;serif"/>
          <w:b w:val="false"/>
          <w:color w:val="000000"/>
          <w:sz w:val="22"/>
        </w:rPr>
        <w:t>The following provision supplements Section 3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to the contrary in the Notice of Grant or the Award Agreement, no part of the Restricted Stock Units will vest until the one-year anniversary of the Date of Grant.</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grant of Restricted Stock Units, Participant acknowledges that he or she is 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i/>
          <w:color w:val="000000"/>
          <w:sz w:val="22"/>
        </w:rPr>
        <w:t xml:space="preserve">Consimtamant cu privire la limba. </w:t>
      </w:r>
      <w:r>
        <w:rPr>
          <w:rFonts w:ascii="Times New Roman;serif" w:hAnsi="Times New Roman;serif"/>
          <w:b w:val="false"/>
          <w:i/>
          <w:color w:val="000000"/>
          <w:sz w:val="22"/>
        </w:rPr>
        <w:t>Prin acceptarea acordarii de RSU-uri, Participantul confirma ca acesta sau aceasta are un nivel adecvat de cunoastere in ce priveste cititirea si intelegerea limbii engleze, a citit si confirma ca a inteles pe deplin termenii documentelor referitoare la acordare (Anuntul, Acordul RSU si Planul), care au fost furnizate in limba engleza. Participantul accepta termenii acestor documente in consecinta.</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If Participant deposits the proceeds from the sale of Shares acquired under the Plan into a bank account in Romania, Participant may be required to provide the Romanian bank with appropriate documentation explaining the source of the funds. Participant understands that Participant should consult with Participant’s personal legal advisor to determine whether Participant will be required to submit such documentation to the Romanian bank.</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SAUDI ARABIA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Award Agreement and related plan documents may not be distributed in Saudi Arabia except to such persons as are permitted under the Offers of Securities and Continuing Obligations issued by the Capital Market Authority.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Capital Market Authority does not make any representation as to the accuracy or completeness of the Award Agreement, and expressly disclaims any liability whatsoever for any loss arising from, or incurred in reliance upon, any part of the Award Agreement. Prospective purchasers of the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securities offered hereby should conduct their own due diligence on the accuracy of the information relating to the securities. If Participant does not understand the contents of the Award Agreement, Participant should consult an authorized financial adviser.</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SINGAPORE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Sale of Shares</w:t>
      </w:r>
      <w:r>
        <w:rPr>
          <w:rFonts w:ascii="Times New Roman;serif" w:hAnsi="Times New Roman;serif"/>
          <w:b w:val="false"/>
          <w:color w:val="000000"/>
          <w:sz w:val="22"/>
        </w:rPr>
        <w:t>. For any Restricted Stock Units that vest within six months of the Date of Grant, Participant agrees that he or she will not sell or offer to sell the Shares acquired prior to the six-month anniversary of the Date of Grant, unless such sale or offer to sell in Singapore is made pursuant to the exemptions under Part XIII Division (1) Subdivision (4) (other than section 280) of the Singapore Securities and Futures Act (Chapter 289, 2006 Ed.) (“</w:t>
      </w:r>
      <w:r>
        <w:rPr>
          <w:rFonts w:ascii="Times New Roman;serif" w:hAnsi="Times New Roman;serif"/>
          <w:b w:val="false"/>
          <w:color w:val="000000"/>
          <w:sz w:val="22"/>
          <w:u w:val="single"/>
        </w:rPr>
        <w:t>SFA</w:t>
      </w:r>
      <w:r>
        <w:rPr>
          <w:color w:val="000000"/>
        </w:rPr>
        <w:t>”</w:t>
      </w:r>
      <w:r>
        <w:rPr>
          <w:rFonts w:ascii="Times New Roman;serif" w:hAnsi="Times New Roman;serif"/>
          <w:b w:val="false"/>
          <w:color w:val="000000"/>
          <w:sz w:val="22"/>
        </w:rPr>
        <w: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grant of the Restricted Stock Units under the Plan is being made pursuant to the “Qualifying Person” exemption under section 273(1)(f) of the SFA and not with a view to the Restricted Stock Units being subsequently offered for sale to any other party. The Plan has not been lodged or registered as a prospectus with the Monetary Authority of Singapore.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Director Notification Obligation. </w:t>
      </w:r>
      <w:r>
        <w:rPr>
          <w:rFonts w:ascii="Times New Roman;serif" w:hAnsi="Times New Roman;serif"/>
          <w:b w:val="false"/>
          <w:color w:val="000000"/>
          <w:sz w:val="22"/>
        </w:rPr>
        <w:t>If Participant is a director, associate director or shadow director of a Singaporean Parent or Subsidiary, Participant is subject to certain notification requirements under the Singapore Companies Act. Among these requirements is an obligation to notify the Singaporean Parent or Subsidiary in writing when (i) Participant receives an interest (</w:t>
      </w:r>
      <w:r>
        <w:rPr>
          <w:rFonts w:ascii="Times New Roman;serif" w:hAnsi="Times New Roman;serif"/>
          <w:b w:val="false"/>
          <w:i/>
          <w:color w:val="000000"/>
          <w:sz w:val="22"/>
        </w:rPr>
        <w:t>e.g.</w:t>
      </w:r>
      <w:r>
        <w:rPr>
          <w:rFonts w:ascii="Times New Roman;serif" w:hAnsi="Times New Roman;serif"/>
          <w:b w:val="false"/>
          <w:color w:val="000000"/>
          <w:sz w:val="22"/>
        </w:rPr>
        <w:t>, Shares) in the Company or any related companies or (ii) Participant sells or receives Shares of the Company or any related company (including when Participant sells or receives Shares acquired under the Plan).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a director.</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SLOVENIA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Language Consent. </w:t>
      </w:r>
      <w:r>
        <w:rPr>
          <w:rFonts w:ascii="Times New Roman;serif" w:hAnsi="Times New Roman;serif"/>
          <w:b w:val="false"/>
          <w:color w:val="000000"/>
          <w:sz w:val="22"/>
        </w:rPr>
        <w:t>By accepting the grant of Restricted Stock Units, Participant acknowledges that he or she is proficient in reading and understanding English and fully understands the terms of the documents related to the grant (the Notice of Grant, the Award Agreement and the Plan), which were provided in the English language. Participant accepts the terms of those documents accordingly.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 xml:space="preserve">Soglasje za Uporabo Angleškega Jezika. S sprejetjem dodelitve RSU Udeleženec (Participant) priznava in potrjuje, da je sposoben brati in razumeti angleški jezik ter v celoti razume pogoje </w:t>
      </w:r>
    </w:p>
    <w:p>
      <w:pPr>
        <w:pStyle w:val="TextBody"/>
        <w:bidi w:val="0"/>
        <w:spacing w:lineRule="auto" w:line="288" w:before="240" w:after="283"/>
        <w:jc w:val="both"/>
        <w:rPr>
          <w:rFonts w:ascii="Times New Roman;serif" w:hAnsi="Times New Roman;serif"/>
          <w:b w:val="false"/>
          <w:i/>
          <w:color w:val="000000"/>
          <w:sz w:val="22"/>
        </w:rPr>
      </w:pPr>
      <w:r>
        <w:rPr>
          <w:rFonts w:ascii="Times New Roman;serif" w:hAnsi="Times New Roman;serif"/>
          <w:b w:val="false"/>
          <w:i/>
          <w:color w:val="000000"/>
          <w:sz w:val="22"/>
        </w:rPr>
        <w:t>dokumentov, povezanih z dodelitvijo (Obvestilo (Notice of Grant), pogodba (Award Agreement) in Naÿrt (Plan)), ki so bili posredovani v angleškem jeziku. Udeleženec skladno s tem sprejema pogoje teh dokumentov.</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SOUTH AFRICA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40"/>
        <w:ind w:left="0" w:right="0" w:firstLine="720"/>
        <w:jc w:val="both"/>
        <w:rPr/>
      </w:pPr>
      <w:r>
        <w:rPr>
          <w:rFonts w:ascii="Times New Roman;serif" w:hAnsi="Times New Roman;serif"/>
          <w:b/>
          <w:color w:val="000000"/>
          <w:sz w:val="22"/>
        </w:rPr>
        <w:t xml:space="preserve">Withholding of Taxes. </w:t>
      </w:r>
      <w:r>
        <w:rPr>
          <w:rFonts w:ascii="Times New Roman;serif" w:hAnsi="Times New Roman;serif"/>
          <w:b w:val="false"/>
          <w:color w:val="000000"/>
          <w:sz w:val="22"/>
        </w:rPr>
        <w:t>The following provision supplements Section 7 of the Terms and Conditions of Global Restricted Stock Unit Grant:</w:t>
      </w:r>
    </w:p>
    <w:p>
      <w:pPr>
        <w:pStyle w:val="TextBody"/>
        <w:bidi w:val="0"/>
        <w:spacing w:lineRule="auto" w:line="288" w:before="74"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accepting the Restricted Stock Units, Participant agrees to immediately notify the Service Recipient of the amount of any gain realized upon vesting of the Restricted Stock Units. If Participant fails to advise the Service Recipient of the gain realized upon vesting of the Restricted Stock Units, then he or she may be liable for a fine. Participant will be responsible for paying the difference between the actual tax liability and the amount withheld by the Company or the Service Recipient.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 xml:space="preserve">The documents listed below are available for Participant’s review on the Company’s website at </w:t>
      </w:r>
      <w:r>
        <w:rPr>
          <w:rFonts w:ascii="Times New Roman;serif" w:hAnsi="Times New Roman;serif"/>
          <w:b w:val="false"/>
          <w:color w:val="0000FF"/>
          <w:sz w:val="22"/>
          <w:u w:val="single"/>
        </w:rPr>
        <w:t>http://investors.paloaltonetworks.com</w:t>
      </w:r>
      <w:r>
        <w:rPr>
          <w:color w:val="0000FF"/>
        </w:rPr>
        <w:t xml:space="preserve"> </w:t>
      </w:r>
      <w:r>
        <w:rPr>
          <w:rFonts w:ascii="Times New Roman;serif" w:hAnsi="Times New Roman;serif"/>
          <w:b w:val="false"/>
          <w:color w:val="000000"/>
          <w:sz w:val="22"/>
        </w:rPr>
        <w:t>and the Company’s intranet:</w:t>
      </w:r>
    </w:p>
    <w:p>
      <w:pPr>
        <w:pStyle w:val="TextBody"/>
        <w:bidi w:val="0"/>
        <w:spacing w:before="1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2"/>
        </w:rPr>
        <w:t>The Company’s most recent annual financial statements; and</w:t>
      </w:r>
    </w:p>
    <w:p>
      <w:pPr>
        <w:pStyle w:val="TextBody"/>
        <w:bidi w:val="0"/>
        <w:spacing w:before="1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2"/>
        </w:rPr>
        <w:t>The Company’s most recent Plan prospectus.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copy of the above documents will be sent to Participant free of charge on written request to equity@paloaltonetworks.com. </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should carefully read the materials provided before making a decision whether to participate in the Plan. In addition, Participant should contact his or her tax advisor for specific information concerning Participant’s personal tax situation with regard to Plan participation.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By accepting the Restricted Stock Units, Participant acknowledges that Participant is solely responsible for complying with applicable South African exchange control regulations. Since the exchange control regulations change frequently and without notice, Participant should consult Participant’s legal advisor prior to the acquisition or sale of Shares acquired under the Plan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SPAIN</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Labor Law Acknowledgment. </w:t>
      </w:r>
      <w:r>
        <w:rPr>
          <w:rFonts w:ascii="Times New Roman;serif" w:hAnsi="Times New Roman;serif"/>
          <w:b w:val="false"/>
          <w:color w:val="000000"/>
          <w:sz w:val="22"/>
        </w:rPr>
        <w:t>This section supplements Section 10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accepting the Restricted Stock Units, Participant acknowledges that he or she consents to participation in the Plan and has received a copy of the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understands that the Company has unilaterally, gratuitously, and discretionally decided to grant Restricted Stock Units under the Plan to individuals who may be Service Providers throughout the world. The decision is a limited decision that is entered into upon the express assumption and condition that (i) any grant will not economically or otherwise bind the Company or any Parent or Subsidiary on an ongoing basis (i.e., it is not to be considered an acquired right or a more beneficial condition to be repeated in the future); (ii) the Restricted Stock Units or the Shares acquired upon vesting shall not become a part of any employment or service contract (either with the Company or any Parent or Subsidiary) and shall not be considered a mandatory benefit, salary for any purposes (including severance compensation), or any other right whatsoever; and (iii) unless otherwise provided in the Terms and Conditions of Global Restricted Stock Unit Grant, the Restricted Stock Units will cease vesting upon the termination of Participant’s status as a Service Provider (as detailed in the following paragraph). 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Restricted Stock Units shall be null and void.</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the vesting of the Restricted Stock Units is expressly conditioned on Participant’s continued and active rendering of service, such that unless otherwise provided in the Terms and Conditions of Global Restricted Stock Unit Grant, if Participant’s status as a Service Provider terminates for any reason whatsoever, the Restricted Stock Units will cease vesting immediately effective on the date of Participant’s termination of status as a Service Provider. This will be the case, for example, even if (1) Participant is considered to be unfairly dismissed without good cause; (2) Participant is dismissed for disciplinary or objective reasons or due to a collective dismissal; (3) Participant terminates service due to a change of work location, duties or any other employment or contractual condition; (4) Participant terminates service due to a unilateral breach of contract by the Company or any Parent or Subsidiary; or (5) Participant’s status as a Service Provider terminates for any other reason whatsoever (except death).</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 xml:space="preserve">The Restricted Stock Units described in the Plan and the Award Agreement, including this Addendum, do not qualify under Spanish regulations as a security. No “offer of securities to the public,” as defined under Spanish law, has taken place or will take place in the Spanish territory. The Plan and the Award Agreement, including this Addendum, have not been nor will they be registered with the </w:t>
      </w:r>
      <w:r>
        <w:rPr>
          <w:rFonts w:ascii="Times New Roman;serif" w:hAnsi="Times New Roman;serif"/>
          <w:b w:val="false"/>
          <w:i/>
          <w:color w:val="000000"/>
          <w:sz w:val="22"/>
        </w:rPr>
        <w:t xml:space="preserve">Comisión Nacional del Mercado de Valores </w:t>
      </w:r>
      <w:r>
        <w:rPr>
          <w:rFonts w:ascii="Times New Roman;serif" w:hAnsi="Times New Roman;serif"/>
          <w:b w:val="false"/>
          <w:color w:val="000000"/>
          <w:sz w:val="22"/>
        </w:rPr>
        <w:t>(Spanish Securities Exchange Commission), and they do not constitute a public offering prospectus.</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When receiving foreign currency payments in excess of a certain threshold (currently €50,000 per type of asset or right) derived from the ownership of Shares (</w:t>
      </w:r>
      <w:r>
        <w:rPr>
          <w:rFonts w:ascii="Times New Roman;serif" w:hAnsi="Times New Roman;serif"/>
          <w:b w:val="false"/>
          <w:i/>
          <w:color w:val="000000"/>
          <w:sz w:val="22"/>
        </w:rPr>
        <w:t xml:space="preserve">e.g., </w:t>
      </w:r>
      <w:r>
        <w:rPr>
          <w:rFonts w:ascii="Times New Roman;serif" w:hAnsi="Times New Roman;serif"/>
          <w:b w:val="false"/>
          <w:color w:val="000000"/>
          <w:sz w:val="22"/>
        </w:rPr>
        <w:t>as a result of the sale of the Shares or the receipt of dividends), Participant must inform the financial institution receiving the payment of the basis upon which such payment is made. Participant will likely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additional information that may be required.</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Further, Participant is required to declare electronically to the Bank of Spain any securities accounts (including brokerage accounts held abroad), as well as the Shares held in such accounts if the value of the transactions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Participant may be required to file the relevant declaration corresponding to the prior year, however, a summarized form of declaration may be available. Participant should consult his or her personal tax or legal advisor for further information regarding these exchange control reporting obligations.</w:t>
      </w:r>
    </w:p>
    <w:p>
      <w:pPr>
        <w:pStyle w:val="TextBody"/>
        <w:bidi w:val="0"/>
        <w:spacing w:before="79"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SWEDEN</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Authorization to Withhold. </w:t>
      </w:r>
      <w:r>
        <w:rPr>
          <w:rFonts w:ascii="Times New Roman;serif" w:hAnsi="Times New Roman;serif"/>
          <w:b w:val="false"/>
          <w:color w:val="000000"/>
          <w:sz w:val="22"/>
        </w:rPr>
        <w:t>The following provision supplements Section 7 of the Terms and Conditions of Global Restricted Stock Unit Grant:</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Without limiting the Company’s and the Service Recipient’s authority to satisfy their withholding obligations for Tax-Related Items as set forth in Section 7 of the Terms and Conditions of Global Restricted Stock Unit Grant, by accepting the grant of the Restricted Stock Units, Participant authorizes the Company and/or the Service Recipient to withhold Shares or to sell Shares otherwise deliverable to Participant upon vesting to satisfy Tax-Related Items, regardless of whether the Company and/or the Service Recipient have an obligation to withhold such Tax-Related Items.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SWITZERLAND</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Neither this document nor any other materials relating to the Restricted Stock Units (i) constitutes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xml:space="preserve">), (ii) may be publicly distributed or otherwise made publicly available in Switzerland to any person other than a Service Provider, or (iii) has been or will be filed with, approved or </w: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supervised by any Swiss reviewing body according to Article 51 of FinSA or any other Swiss regulatory authority, including the Swiss Financial Market Supervisory Authority.</w:t>
      </w:r>
    </w:p>
    <w:p>
      <w:pPr>
        <w:pStyle w:val="TextBody"/>
        <w:bidi w:val="0"/>
        <w:spacing w:lineRule="auto" w:line="288" w:before="223"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TAIWAN</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Data Privacy. </w:t>
      </w:r>
      <w:r>
        <w:rPr>
          <w:rFonts w:ascii="Times New Roman;serif" w:hAnsi="Times New Roman;serif"/>
          <w:b w:val="false"/>
          <w:color w:val="000000"/>
          <w:sz w:val="22"/>
        </w:rPr>
        <w:t>Participant hereby acknowledges that he or she has read and understands the terms regarding the collection, processing and transfer of Data contained in the Data Privacy Provisions for Participants Outside the European Union / European Economic Area / Switzerland / United Kingdom above in this Addendum and, by participating in the Plan, agrees to such terms. In this regard, upon request of the Company or the Service Recipient, Participant agrees to provide any executed data privacy consent form (or any other agreements or consents that may be required by the Service Recipient or the Company) should the Company and/or the Service Recipient deem such agreement or consent necessary under applicable data privacy laws, either now or in the future. Participant understands that he or she will not be able to participate in the Plan if Participant fails to execute any such consent or agreement.</w:t>
      </w:r>
    </w:p>
    <w:p>
      <w:pPr>
        <w:pStyle w:val="TextBody"/>
        <w:bidi w:val="0"/>
        <w:spacing w:before="79" w:after="283"/>
        <w:ind w:left="0" w:right="0" w:firstLine="220"/>
        <w:jc w:val="both"/>
        <w:rPr/>
      </w:pPr>
      <w:r>
        <w:rPr/>
      </w:r>
    </w:p>
    <w:p>
      <w:pPr>
        <w:pStyle w:val="TextBody"/>
        <w:bidi w:val="0"/>
        <w:spacing w:lineRule="auto" w:line="288" w:before="79"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Securities Law Information. </w:t>
      </w:r>
      <w:r>
        <w:rPr>
          <w:rFonts w:ascii="Times New Roman;serif" w:hAnsi="Times New Roman;serif"/>
          <w:b w:val="false"/>
          <w:color w:val="000000"/>
          <w:sz w:val="22"/>
        </w:rPr>
        <w:t>The grant of the Restricted Stock Units and the Shares to be issued pursuant to the Plan are available only for certain Service Providers. It is not a public offer of securities by a Taiwanese company; therefore, it is exempt from registration in Taiwan.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may acquire and remit foreign currency (including proceeds from the Shares and any dividends paid on such Shares) into and out of Taiwan up to a certain threshold (currently US$10,000,000) per year. If the transaction amount equals or exceeds a certain threshold (currently TWD$500,000) in a single transaction, Participant must submit a Foreign Exchange Transaction Form and also provide supporting documentation to the satisfaction of the remitting bank.</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THAILAND</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It is Participant’s responsibility to comply with all exchange control regulations in Thailand. Participant is required to immediately repatriate the proceeds from the sale of Shares or the receipt of dividends to Thailand if the proceeds realized in a single transaction exceed a certain threshold (currently US$1,000,000), unless Participant can rely on an applicable exemption (</w:t>
      </w:r>
      <w:r>
        <w:rPr>
          <w:rFonts w:ascii="Times New Roman;serif" w:hAnsi="Times New Roman;serif"/>
          <w:b w:val="false"/>
          <w:i/>
          <w:color w:val="000000"/>
          <w:sz w:val="22"/>
        </w:rPr>
        <w:t>e.g.</w:t>
      </w:r>
      <w:r>
        <w:rPr>
          <w:rFonts w:ascii="Times New Roman;serif" w:hAnsi="Times New Roman;serif"/>
          <w:b w:val="false"/>
          <w:color w:val="000000"/>
          <w:sz w:val="22"/>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Any foreign currency repatriated to Thailand must be reported to the Bank of Thailand on a Foreign Exchange Transaction Form through the bank at which Participant deposits or converts the proceeds.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TUNISIA</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Participant may be required to obtain prior authorization from the Central Bank of Tunisia (“</w:t>
      </w:r>
      <w:r>
        <w:rPr>
          <w:rFonts w:ascii="Times New Roman;serif" w:hAnsi="Times New Roman;serif"/>
          <w:b w:val="false"/>
          <w:color w:val="000000"/>
          <w:sz w:val="22"/>
          <w:u w:val="single"/>
        </w:rPr>
        <w:t>CBT</w:t>
      </w:r>
      <w:r>
        <w:rPr>
          <w:color w:val="000000"/>
        </w:rPr>
        <w:t>”</w:t>
      </w:r>
      <w:r>
        <w:rPr>
          <w:rFonts w:ascii="Times New Roman;serif" w:hAnsi="Times New Roman;serif"/>
          <w:b w:val="false"/>
          <w:color w:val="000000"/>
          <w:sz w:val="22"/>
        </w:rPr>
        <w:t>) for the acquisition for Shares under the Plan. For this reason, Participant should consult Participant’s personal legal advisor prior to vesting and settlement regarding Participant’s participation in the Plan.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holds assets (including Shares acquired under the Plan) outside of Tunisia and the value of such assets exceeds a certain threshold, Participant must declare the assets to the CBT within six months of their acquisition. All proceeds from the sale of Shares or the receipt of any dividends paid under the Plan must be repatriated to Tunisia. As noted above, Participant should consult his or her personal legal advisor before taking action with respect to the remittance of proceeds into Tunisia. Participant is solely responsible for ensuring compliance with applicable exchange control laws in Tunisia and neither the Company nor the Service Recipient will be liable for any non-compliance by Participant.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TÜRKIYE</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By accepting the Restricted Stock Units and participating in the Plan, Participant acknowledges that Participant understands that the Shares acquired under the Plan cannot be sold in Türkiye. The Shares are currently traded on The Nasdaq Global Select Market, which is located outside of Türkiye, under the ticker symbol “PANW” and the Shares may be sold through this exchange.</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Financial Intermediary Information</w:t>
      </w:r>
      <w:r>
        <w:rPr>
          <w:rFonts w:ascii="Times New Roman;serif" w:hAnsi="Times New Roman;serif"/>
          <w:b w:val="false"/>
          <w:color w:val="000000"/>
          <w:sz w:val="22"/>
        </w:rPr>
        <w:t>. Activity related to investments in foreign securities (</w:t>
      </w:r>
      <w:r>
        <w:rPr>
          <w:rFonts w:ascii="Times New Roman;serif" w:hAnsi="Times New Roman;serif"/>
          <w:b w:val="false"/>
          <w:i/>
          <w:color w:val="000000"/>
          <w:sz w:val="22"/>
        </w:rPr>
        <w:t>e.g.</w:t>
      </w:r>
      <w:r>
        <w:rPr>
          <w:rFonts w:ascii="Times New Roman;serif" w:hAnsi="Times New Roman;serif"/>
          <w:b w:val="false"/>
          <w:color w:val="000000"/>
          <w:sz w:val="22"/>
        </w:rPr>
        <w:t>, the sale of Shares acquired under the Plan) must be conducted through a bank or financial intermediary institution licensed by the Turkish Capital Markets Board and should be reported to the Turkish Capital Markets Board. Participant understands that Participant is solely responsible for complying with this requirement and should contact his or her personal legal advisor for further information regarding his or her obligations in this respect.</w:t>
      </w:r>
    </w:p>
    <w:p>
      <w:pPr>
        <w:pStyle w:val="TextBody"/>
        <w:bidi w:val="0"/>
        <w:spacing w:before="3"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UKRAINE</w:t>
      </w:r>
    </w:p>
    <w:p>
      <w:pPr>
        <w:pStyle w:val="TextBody"/>
        <w:bidi w:val="0"/>
        <w:spacing w:before="9" w:after="283"/>
        <w:ind w:left="0" w:right="0" w:firstLine="720"/>
        <w:jc w:val="both"/>
        <w:rPr/>
      </w:pPr>
      <w:r>
        <w:rPr/>
      </w:r>
    </w:p>
    <w:p>
      <w:pPr>
        <w:pStyle w:val="TextBody"/>
        <w:bidi w:val="0"/>
        <w:spacing w:lineRule="auto" w:line="288" w:before="1"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Participant is responsible for complying with all applicable exchange control regulations in Ukraine. </w:t>
      </w:r>
      <w:r>
        <w:rPr>
          <w:rFonts w:ascii="Times New Roman;serif" w:hAnsi="Times New Roman;serif"/>
          <w:b w:val="false"/>
          <w:i/>
          <w:color w:val="000000"/>
          <w:sz w:val="22"/>
        </w:rPr>
        <w:t>Participant should consult with his or her personal legal advisor to ensure compliance with the applicable requirements.</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UNITED ARAB EMIRATES</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Nature of Grant. </w:t>
      </w:r>
      <w:r>
        <w:rPr>
          <w:rFonts w:ascii="Times New Roman;serif" w:hAnsi="Times New Roman;serif"/>
          <w:b w:val="false"/>
          <w:color w:val="000000"/>
          <w:sz w:val="22"/>
        </w:rPr>
        <w:t>The following provision supplements Section 10 of the Terms and Conditions of Global Restricted Stock Unit Grant:</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Participant acknowledges that the Restricted Stock Units and related benefits do not constitute a component of Participant’s “wages” for any legal purpose. Therefore, the Restricted Stock Units and related benefits will not be included and/or considered for purposes of calculating any and all labor benefits, such as social insurance contributions and/or any other labor-related amounts which may be payable.</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NOTIFICATIONS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Participation in the Plan is being offered only to selected Service Providers and is in the nature of providing equity incentives to Service Providers in the United Arab Emirates (“</w:t>
      </w:r>
      <w:r>
        <w:rPr>
          <w:rFonts w:ascii="Times New Roman;serif" w:hAnsi="Times New Roman;serif"/>
          <w:b w:val="false"/>
          <w:color w:val="000000"/>
          <w:sz w:val="22"/>
          <w:u w:val="single"/>
        </w:rPr>
        <w:t>UAE</w:t>
      </w:r>
      <w:r>
        <w:rPr>
          <w:color w:val="000000"/>
        </w:rPr>
        <w:t>”</w:t>
      </w:r>
      <w:r>
        <w:rPr>
          <w:rFonts w:ascii="Times New Roman;serif" w:hAnsi="Times New Roman;serif"/>
          <w:b w:val="false"/>
          <w:color w:val="000000"/>
          <w:sz w:val="22"/>
        </w:rPr>
        <w:t>). The Plan and the Award Agreement are intended for distribution only to such Service Providers and must not be delivered to, or relied on by, any other person. Participant should conduct his or her own due diligence on the Shares. If Participant does not understand the contents of the Plan and the Award Agreement, Participant should consult an authorized financial adviser. The Emirates Securities and Commodities Authority has no responsibility for reviewing or verifying any documents in connection with the Plan. No other UAE authority or governmental agency has approved the Plan or the Award Agreement nor taken steps to verify the information set out therein, and have no responsibility for such documents.</w:t>
      </w:r>
    </w:p>
    <w:p>
      <w:pPr>
        <w:pStyle w:val="TextBody"/>
        <w:bidi w:val="0"/>
        <w:spacing w:before="4"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UNITED KINGDOM</w:t>
      </w:r>
    </w:p>
    <w:p>
      <w:pPr>
        <w:pStyle w:val="TextBody"/>
        <w:bidi w:val="0"/>
        <w:spacing w:before="240" w:after="283"/>
        <w:ind w:left="0" w:right="0" w:firstLine="2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5"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Form of Payment</w:t>
      </w:r>
      <w:r>
        <w:rPr>
          <w:rFonts w:ascii="Times New Roman;serif" w:hAnsi="Times New Roman;serif"/>
          <w:b w:val="false"/>
          <w:color w:val="000000"/>
          <w:sz w:val="22"/>
        </w:rPr>
        <w:t>. Notwithstanding any discretion contained in the Plan but without prejudice to Section 7 of the Terms and Conditions of Global Restricted Stock Unit Grant, the grant of Restricted Stock Units does not provide any right for Participant to receive a cash payment, and the Restricted Stock Units are payable in Shares only.</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Joint Election for Transfer of Liability for Employer National Insurance Contributions. </w:t>
      </w:r>
      <w:r>
        <w:rPr>
          <w:rFonts w:ascii="Times New Roman;serif" w:hAnsi="Times New Roman;serif"/>
          <w:b w:val="false"/>
          <w:color w:val="000000"/>
          <w:sz w:val="22"/>
        </w:rPr>
        <w:t>As a condition of participation in the Plan and the vesting of the Restricted Stock Units, Participant agrees to accept any liability for secondary Class 1 National Insurance contributions that may be payable by the Company, the Service Recipient, any Parent or Subsidiary in connection with the Restricted Stock Units and any event giving rise to Tax-Related Items (the “</w:t>
      </w:r>
      <w:r>
        <w:rPr>
          <w:rFonts w:ascii="Times New Roman;serif" w:hAnsi="Times New Roman;serif"/>
          <w:b w:val="false"/>
          <w:color w:val="000000"/>
          <w:sz w:val="22"/>
          <w:u w:val="single"/>
        </w:rPr>
        <w:t>Employer NICs</w:t>
      </w:r>
      <w:r>
        <w:rPr>
          <w:color w:val="000000"/>
        </w:rPr>
        <w:t>”</w:t>
      </w:r>
      <w:r>
        <w:rPr>
          <w:rFonts w:ascii="Times New Roman;serif" w:hAnsi="Times New Roman;serif"/>
          <w:b w:val="false"/>
          <w:color w:val="000000"/>
          <w:sz w:val="22"/>
        </w:rPr>
        <w:t>). Without prejudice to the foregoing, Participant agrees to execute a joint election with the Company or the Service Recipient, the form of such joint election (the “</w:t>
      </w:r>
      <w:r>
        <w:rPr>
          <w:rFonts w:ascii="Times New Roman;serif" w:hAnsi="Times New Roman;serif"/>
          <w:b w:val="false"/>
          <w:color w:val="000000"/>
          <w:sz w:val="22"/>
          <w:u w:val="single"/>
        </w:rPr>
        <w:t>Joint Election</w:t>
      </w:r>
      <w:r>
        <w:rPr>
          <w:color w:val="000000"/>
        </w:rPr>
        <w:t>”</w:t>
      </w:r>
      <w:r>
        <w:rPr>
          <w:rFonts w:ascii="Times New Roman;serif" w:hAnsi="Times New Roman;serif"/>
          <w:b w:val="false"/>
          <w:color w:val="000000"/>
          <w:sz w:val="22"/>
        </w:rPr>
        <w:t>) having been approved formally by HM Revenue and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xml:space="preserve">), and any other required consent or election prior to vesting of the Restricted Stock Units. Participant further agrees to execute such other joint elections as may be required between Participant and any successor to the Company, the Service Recipient, any Parent or Subsidiary. Participant further agrees that the Company, the Service Recipient, any Parent or Subsidiary may collect the Employer NICs from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Participant by any of the means set forth in Section 7 of the Terms and Conditions of Global Restricted Stock Unit Grant or the Joint Election.</w:t>
      </w:r>
    </w:p>
    <w:p>
      <w:pPr>
        <w:pStyle w:val="TextBody"/>
        <w:bidi w:val="0"/>
        <w:spacing w:before="10"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Participant does not enter into a Joint Election, if approval of the Joint Election has been withdrawn by HMRC, if the Joint Election is revoked by the Company or the Service Recipient (as applicable), or if the Joint Election is jointly revoked by Participant and the Company or the Service Recipient (as applicable), Participant will not be entitled to vest in the Restricted Stock Units and no Shares will be issued to Participant under the Plan, without any liability to the Company, the Service Recipient, or any Parent or Subsidiary.</w:t>
      </w:r>
    </w:p>
    <w:p>
      <w:pPr>
        <w:pStyle w:val="TextBody"/>
        <w:bidi w:val="0"/>
        <w:spacing w:before="9" w:after="283"/>
        <w:ind w:left="0" w:right="0" w:firstLine="720"/>
        <w:jc w:val="both"/>
        <w:rPr/>
      </w:pPr>
      <w:r>
        <w:rPr/>
      </w:r>
    </w:p>
    <w:p>
      <w:pPr>
        <w:pStyle w:val="TextBody"/>
        <w:bidi w:val="0"/>
        <w:spacing w:lineRule="auto" w:line="288" w:before="1" w:after="283"/>
        <w:ind w:left="0" w:right="0" w:firstLine="720"/>
        <w:jc w:val="both"/>
        <w:rPr/>
      </w:pPr>
      <w:r>
        <w:rPr>
          <w:rFonts w:ascii="Times New Roman;serif" w:hAnsi="Times New Roman;serif"/>
          <w:b/>
          <w:color w:val="000000"/>
          <w:sz w:val="22"/>
        </w:rPr>
        <w:t xml:space="preserve">Responsibility for Taxes. </w:t>
      </w:r>
      <w:r>
        <w:rPr>
          <w:rFonts w:ascii="Times New Roman;serif" w:hAnsi="Times New Roman;serif"/>
          <w:b w:val="false"/>
          <w:color w:val="000000"/>
          <w:sz w:val="22"/>
        </w:rPr>
        <w:t>Without limitation to Section 7 of the Terms and Conditions of Global Restricted Stock Unit Grant, Participant agrees that Participant is liable for all Tax-Related Items and hereby covenants to pay all such Tax-Related Items as and when requested by the Company or the Service Recipient or by HMRC (or any other tax authority or any other relevant authority). Participant also agrees to indemnify and keep indemnified the Company and the Service Recipient against any Tax-Related Items that they are required to pay or withhold or have paid or will pay to HMRC (or any other tax authority or any other relevant authority) on Participant’s behalf.</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Participant is a director or executive officer of the Company (within the meaning of Section 13(k) of the Exchange Act), Participant may not be able to indemnify the Company or the Service Recipient for the amount of any income tax not collected from or paid by Participant, as it may be considered a loan. In this case, the amount of any income tax not collected may constitute an additional benefit to Participant on which additional income tax and NICs may be payable. Participant understands that Participant will be responsible for reporting and paying any income tax due on this additional benefit directly to HMRC under the self-assessment regime and for paying the Company and/or Service Recipient for the value of any employee NICs due on this additional benefit, which may be obtained from Participant by the Company or the Service Recipient by any of the means referred to in Section 7 of the Terms and Conditions of Global Restricted Stock Unit Grant.</w:t>
      </w:r>
    </w:p>
    <w:p>
      <w:pPr>
        <w:pStyle w:val="TextBody"/>
        <w:bidi w:val="0"/>
        <w:spacing w:before="3"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VIETNAM</w:t>
      </w:r>
    </w:p>
    <w:p>
      <w:pPr>
        <w:pStyle w:val="TextBody"/>
        <w:bidi w:val="0"/>
        <w:spacing w:before="10" w:after="283"/>
        <w:ind w:left="0" w:right="0" w:firstLine="720"/>
        <w:jc w:val="both"/>
        <w:rPr/>
      </w:pPr>
      <w:r>
        <w:rPr/>
      </w:r>
    </w:p>
    <w:p>
      <w:pPr>
        <w:pStyle w:val="TextBody"/>
        <w:bidi w:val="0"/>
        <w:spacing w:lineRule="auto" w:line="288" w:before="24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TERMS AND CONDITIONS</w:t>
      </w:r>
    </w:p>
    <w:p>
      <w:pPr>
        <w:pStyle w:val="TextBody"/>
        <w:bidi w:val="0"/>
        <w:spacing w:before="6"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The following provisions apply if Participant is subject to exchange control restrictions and requirements in Vietnam, including the requirements imposed by the State Bank of Vietnam as determined by the Company in its sole discretion:</w:t>
      </w:r>
    </w:p>
    <w:p>
      <w:pPr>
        <w:pStyle w:val="TextBody"/>
        <w:bidi w:val="0"/>
        <w:spacing w:before="1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Settlement of Restricted Stock Units. </w:t>
      </w:r>
      <w:r>
        <w:rPr>
          <w:rFonts w:ascii="Times New Roman;serif" w:hAnsi="Times New Roman;serif"/>
          <w:b w:val="false"/>
          <w:color w:val="000000"/>
          <w:sz w:val="22"/>
        </w:rPr>
        <w:t>Unless otherwise determined by the Administrator, Participant is not entitled to receive any Shares upon vesting of the Restricted Stock Units due to exchange control regulations in Vietnam. This means that upon vesting of the Restricted Stock Units, Participant will receive a cash payment equal to the value of the underlying Shares at vesting, less any Tax-Related Items and broker’s fees or commissions, which will be remitted to Participant via local payroll. Any references in the Plan and this Award Agreement to the issuance of Shares shall not apply to Participant.</w:t>
      </w:r>
    </w:p>
    <w:p>
      <w:pPr>
        <w:pStyle w:val="TextBody"/>
        <w:bidi w:val="0"/>
        <w:spacing w:before="0" w:after="0"/>
        <w:jc w:val="both"/>
        <w:rPr/>
      </w:pPr>
      <w:r>
        <w:rPr/>
      </w:r>
    </w:p>
    <w:p>
      <w:pPr>
        <w:pStyle w:val="TextBody"/>
        <w:bidi w:val="0"/>
        <w:spacing w:lineRule="auto" w:line="288" w:before="79" w:after="283"/>
        <w:ind w:left="0" w:right="0" w:hanging="1191"/>
        <w:jc w:val="both"/>
        <w:rPr>
          <w:rFonts w:ascii="Times New Roman;serif" w:hAnsi="Times New Roman;serif"/>
          <w:b w:val="false"/>
          <w:color w:val="000000"/>
          <w:sz w:val="22"/>
        </w:rPr>
      </w:pPr>
      <w:r>
        <w:rPr>
          <w:rFonts w:ascii="Times New Roman;serif" w:hAnsi="Times New Roman;serif"/>
          <w:b w:val="false"/>
          <w:color w:val="000000"/>
          <w:sz w:val="22"/>
        </w:rPr>
        <w:t>NICS JOINT ELECTION FOR UK PARTICIPANTS FOR THE PALO ALTO NETWORKS, INC. 2021 EQUITY INCENTIVE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220"/>
        <w:jc w:val="both"/>
        <w:rPr/>
      </w:pPr>
      <w:r>
        <w:rPr>
          <w:rFonts w:ascii="Times New Roman;serif" w:hAnsi="Times New Roman;serif"/>
          <w:b w:val="false"/>
          <w:color w:val="000000"/>
          <w:sz w:val="22"/>
        </w:rPr>
        <w:t>Important Note on the Election to Transfer Employer NICs (the “</w:t>
      </w:r>
      <w:r>
        <w:rPr>
          <w:rFonts w:ascii="Times New Roman;serif" w:hAnsi="Times New Roman;serif"/>
          <w:b w:val="false"/>
          <w:color w:val="000000"/>
          <w:sz w:val="22"/>
          <w:u w:val="single"/>
        </w:rPr>
        <w:t>Election</w:t>
      </w:r>
      <w:r>
        <w:rPr>
          <w:color w:val="000000"/>
        </w:rPr>
        <w:t>”</w:t>
      </w:r>
      <w:r>
        <w:rPr>
          <w:rFonts w:ascii="Times New Roman;serif" w:hAnsi="Times New Roman;serif"/>
          <w:b w:val="false"/>
          <w:color w:val="000000"/>
          <w:sz w:val="22"/>
        </w:rPr>
        <w:t>)</w:t>
      </w:r>
    </w:p>
    <w:p>
      <w:pPr>
        <w:pStyle w:val="TextBody"/>
        <w:bidi w:val="0"/>
        <w:spacing w:before="9" w:after="283"/>
        <w:ind w:left="0" w:right="0" w:firstLine="720"/>
        <w:jc w:val="both"/>
        <w:rPr/>
      </w:pPr>
      <w:r>
        <w:rPr/>
      </w:r>
    </w:p>
    <w:p>
      <w:pPr>
        <w:pStyle w:val="TextBody"/>
        <w:bidi w:val="0"/>
        <w:spacing w:lineRule="auto" w:line="288" w:before="90" w:after="283"/>
        <w:ind w:left="0" w:right="0" w:firstLine="720"/>
        <w:jc w:val="both"/>
        <w:rPr/>
      </w:pPr>
      <w:r>
        <w:rPr>
          <w:rFonts w:ascii="Times New Roman;serif" w:hAnsi="Times New Roman;serif"/>
          <w:b w:val="false"/>
          <w:color w:val="000000"/>
          <w:sz w:val="22"/>
        </w:rPr>
        <w:t>As a condition of your participation in the Palo Alto Networks, Inc. 2021 Equity Incentive Plan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you are required to enter into the Election to transfer to you any liability for employer National Insurance contributions (“</w:t>
      </w:r>
      <w:r>
        <w:rPr>
          <w:rFonts w:ascii="Times New Roman;serif" w:hAnsi="Times New Roman;serif"/>
          <w:b w:val="false"/>
          <w:color w:val="000000"/>
          <w:sz w:val="22"/>
          <w:u w:val="single"/>
        </w:rPr>
        <w:t>Employer NICs</w:t>
      </w:r>
      <w:r>
        <w:rPr>
          <w:color w:val="000000"/>
        </w:rPr>
        <w:t>”</w:t>
      </w:r>
      <w:r>
        <w:rPr>
          <w:rFonts w:ascii="Times New Roman;serif" w:hAnsi="Times New Roman;serif"/>
          <w:b w:val="false"/>
          <w:color w:val="000000"/>
          <w:sz w:val="22"/>
        </w:rPr>
        <w:t>) that may arise in connection with your participation in the Plan.</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2"/>
        </w:rPr>
        <w:t>By accepting your award (the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(whether by signing the applicable award agreement or via the Company’s online acceptance procedures) or by separately accepting the Election (whether in hard copy or electronically), you indicate your acceptance to transfer Employer NICs and to be bound by the terms of the Election. You should read this important note and the Election in their entirety before accepting the applicable award agreement and the Election. Please print and keep a copy of the Election for your records.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entering into the Election:</w:t>
      </w:r>
    </w:p>
    <w:p>
      <w:pPr>
        <w:pStyle w:val="TextBody"/>
        <w:bidi w:val="0"/>
        <w:spacing w:before="9" w:after="283"/>
        <w:ind w:left="0" w:right="0" w:firstLine="720"/>
        <w:jc w:val="both"/>
        <w:rPr/>
      </w:pPr>
      <w:r>
        <w:rPr/>
      </w:r>
    </w:p>
    <w:p>
      <w:pPr>
        <w:pStyle w:val="TextBody"/>
        <w:bidi w:val="0"/>
        <w:spacing w:lineRule="auto" w:line="266" w:before="0" w:after="0"/>
        <w:ind w:left="0" w:right="0" w:hanging="361"/>
        <w:jc w:val="both"/>
        <w:rPr/>
      </w:pPr>
      <w:r>
        <w:rPr>
          <w:color w:val="000000"/>
        </w:rPr>
        <w:t>•</w:t>
      </w:r>
      <w:r>
        <w:rPr>
          <w:rFonts w:ascii="Times New Roman;serif" w:hAnsi="Times New Roman;serif"/>
          <w:b w:val="false"/>
          <w:color w:val="000000"/>
          <w:sz w:val="22"/>
        </w:rPr>
        <w:t>you agree that any liability for Employer NICs that may arise in connection with your participation in the Plan will be transferred to you;</w:t>
      </w:r>
    </w:p>
    <w:p>
      <w:pPr>
        <w:pStyle w:val="TextBody"/>
        <w:bidi w:val="0"/>
        <w:spacing w:before="2" w:after="283"/>
        <w:ind w:left="0" w:right="0" w:firstLine="720"/>
        <w:jc w:val="both"/>
        <w:rPr/>
      </w:pPr>
      <w:r>
        <w:rPr/>
      </w:r>
    </w:p>
    <w:p>
      <w:pPr>
        <w:pStyle w:val="TextBody"/>
        <w:bidi w:val="0"/>
        <w:spacing w:lineRule="auto" w:line="276" w:before="0" w:after="0"/>
        <w:ind w:left="0" w:right="0" w:hanging="361"/>
        <w:jc w:val="both"/>
        <w:rPr/>
      </w:pPr>
      <w:r>
        <w:rPr>
          <w:color w:val="000000"/>
        </w:rPr>
        <w:t>•</w:t>
      </w:r>
      <w:r>
        <w:rPr>
          <w:rFonts w:ascii="Times New Roman;serif" w:hAnsi="Times New Roman;serif"/>
          <w:b w:val="false"/>
          <w:color w:val="000000"/>
          <w:sz w:val="22"/>
        </w:rPr>
        <w:t>you authorise your employer to recover an amount sufficient to cover this liability by such methods as set forth in Section 7 of the Terms and Conditions of Global Restricted Stock Unit Grant and/or this Election including, but not limited to, deductions from your salary or other payments due or the sale of sufficient shares acquired pursuant to your Award; and</w:t>
      </w:r>
    </w:p>
    <w:p>
      <w:pPr>
        <w:pStyle w:val="TextBody"/>
        <w:bidi w:val="0"/>
        <w:spacing w:before="10" w:after="283"/>
        <w:ind w:left="0" w:right="0" w:firstLine="720"/>
        <w:jc w:val="both"/>
        <w:rPr/>
      </w:pPr>
      <w:r>
        <w:rPr/>
      </w:r>
    </w:p>
    <w:p>
      <w:pPr>
        <w:pStyle w:val="TextBody"/>
        <w:bidi w:val="0"/>
        <w:spacing w:lineRule="auto" w:line="276" w:before="0" w:after="0"/>
        <w:ind w:left="0" w:right="0" w:hanging="361"/>
        <w:jc w:val="both"/>
        <w:rPr/>
      </w:pPr>
      <w:r>
        <w:rPr>
          <w:color w:val="000000"/>
        </w:rPr>
        <w:t>•</w:t>
      </w:r>
      <w:r>
        <w:rPr>
          <w:rFonts w:ascii="Times New Roman;serif" w:hAnsi="Times New Roman;serif"/>
          <w:b w:val="false"/>
          <w:color w:val="000000"/>
          <w:sz w:val="22"/>
        </w:rPr>
        <w:t>you acknowledge that the Company or your employer may require you to sign a paper copy of this Election (or a substantially similar form) if the Company determines such is necessary to give effect to the Election even if you have accepted the applicable award agreement or the Election through the Company’s electronic acceptance procedure.</w:t>
      </w:r>
    </w:p>
    <w:p>
      <w:pPr>
        <w:pStyle w:val="TextBody"/>
        <w:bidi w:val="0"/>
        <w:spacing w:before="0" w:after="0"/>
        <w:jc w:val="both"/>
        <w:rPr/>
      </w:pPr>
      <w:r>
        <w:rPr/>
      </w:r>
    </w:p>
    <w:p>
      <w:pPr>
        <w:pStyle w:val="TextBody"/>
        <w:bidi w:val="0"/>
        <w:spacing w:lineRule="auto" w:line="288" w:before="79" w:after="283"/>
        <w:ind w:left="0" w:right="0" w:firstLine="775"/>
        <w:jc w:val="both"/>
        <w:rPr>
          <w:rFonts w:ascii="Times New Roman;serif" w:hAnsi="Times New Roman;serif"/>
          <w:b w:val="false"/>
          <w:color w:val="000000"/>
          <w:sz w:val="22"/>
        </w:rPr>
      </w:pPr>
      <w:r>
        <w:rPr>
          <w:rFonts w:ascii="Times New Roman;serif" w:hAnsi="Times New Roman;serif"/>
          <w:b w:val="false"/>
          <w:color w:val="000000"/>
          <w:sz w:val="22"/>
        </w:rPr>
        <w:t>Joint Election for Transfer of Liability for Employer National Insurance Contributions to Employee</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Election To Transfer the Employer’s National Insurance Liability to the Employee</w:t>
      </w:r>
    </w:p>
    <w:p>
      <w:pPr>
        <w:pStyle w:val="TextBody"/>
        <w:bidi w:val="0"/>
        <w:spacing w:before="9" w:after="283"/>
        <w:ind w:left="0" w:right="0" w:firstLine="720"/>
        <w:jc w:val="both"/>
        <w:rPr/>
      </w:pPr>
      <w:r>
        <w:rPr/>
      </w:r>
    </w:p>
    <w:p>
      <w:pPr>
        <w:pStyle w:val="TextBody"/>
        <w:bidi w:val="0"/>
        <w:spacing w:lineRule="auto" w:line="288" w:before="9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Election is between:</w:t>
      </w:r>
    </w:p>
    <w:p>
      <w:pPr>
        <w:pStyle w:val="TextBody"/>
        <w:bidi w:val="0"/>
        <w:spacing w:before="11" w:after="283"/>
        <w:ind w:left="0" w:right="0" w:firstLine="720"/>
        <w:jc w:val="both"/>
        <w:rPr/>
      </w:pPr>
      <w:r>
        <w:rPr/>
      </w:r>
    </w:p>
    <w:p>
      <w:pPr>
        <w:pStyle w:val="TextBody"/>
        <w:bidi w:val="0"/>
        <w:spacing w:lineRule="auto" w:line="288" w:before="0" w:after="0"/>
        <w:ind w:left="0" w:right="0" w:hanging="361"/>
        <w:jc w:val="both"/>
        <w:rPr/>
      </w:pPr>
      <w:r>
        <w:rPr>
          <w:rFonts w:ascii="Times New Roman;serif" w:hAnsi="Times New Roman;serif"/>
          <w:b w:val="false"/>
          <w:color w:val="000000"/>
          <w:sz w:val="24"/>
        </w:rPr>
        <w:t>A.</w:t>
      </w:r>
      <w:r>
        <w:rPr>
          <w:rFonts w:ascii="Times New Roman;serif" w:hAnsi="Times New Roman;serif"/>
          <w:b w:val="false"/>
          <w:color w:val="000000"/>
          <w:sz w:val="22"/>
        </w:rPr>
        <w:t>The individual who has obtained authorised access to this Election (the “</w:t>
      </w:r>
      <w:r>
        <w:rPr>
          <w:rFonts w:ascii="Times New Roman;serif" w:hAnsi="Times New Roman;serif"/>
          <w:b/>
          <w:color w:val="000000"/>
          <w:sz w:val="22"/>
        </w:rPr>
        <w:t>Employee</w:t>
      </w:r>
      <w:r>
        <w:rPr>
          <w:color w:val="000000"/>
        </w:rPr>
        <w:t>”</w:t>
      </w:r>
      <w:r>
        <w:rPr>
          <w:rFonts w:ascii="Times New Roman;serif" w:hAnsi="Times New Roman;serif"/>
          <w:b w:val="false"/>
          <w:color w:val="000000"/>
          <w:sz w:val="22"/>
        </w:rPr>
        <w:t>), who is employed by one of the employing companies listed in the attached schedule (the “</w:t>
      </w:r>
      <w:r>
        <w:rPr>
          <w:rFonts w:ascii="Times New Roman;serif" w:hAnsi="Times New Roman;serif"/>
          <w:b/>
          <w:color w:val="000000"/>
          <w:sz w:val="22"/>
        </w:rPr>
        <w:t>Employer</w:t>
      </w:r>
      <w:r>
        <w:rPr>
          <w:color w:val="000000"/>
        </w:rPr>
        <w:t>”</w:t>
      </w:r>
      <w:r>
        <w:rPr>
          <w:rFonts w:ascii="Times New Roman;serif" w:hAnsi="Times New Roman;serif"/>
          <w:b w:val="false"/>
          <w:color w:val="000000"/>
          <w:sz w:val="22"/>
        </w:rPr>
        <w:t>) and who is eligible to receive restricted stock units (the “</w:t>
      </w:r>
      <w:r>
        <w:rPr>
          <w:rFonts w:ascii="Times New Roman;serif" w:hAnsi="Times New Roman;serif"/>
          <w:b/>
          <w:color w:val="000000"/>
          <w:sz w:val="22"/>
        </w:rPr>
        <w:t>Awards</w:t>
      </w:r>
      <w:r>
        <w:rPr>
          <w:color w:val="000000"/>
        </w:rPr>
        <w:t>”</w:t>
      </w:r>
      <w:r>
        <w:rPr>
          <w:rFonts w:ascii="Times New Roman;serif" w:hAnsi="Times New Roman;serif"/>
          <w:b w:val="false"/>
          <w:color w:val="000000"/>
          <w:sz w:val="22"/>
        </w:rPr>
        <w:t>) pursuant to the Palo Alto Networks, Inc. 2021 Equity Incentive Plan (the “</w:t>
      </w:r>
      <w:r>
        <w:rPr>
          <w:rFonts w:ascii="Times New Roman;serif" w:hAnsi="Times New Roman;serif"/>
          <w:b/>
          <w:color w:val="000000"/>
          <w:sz w:val="22"/>
        </w:rPr>
        <w:t>Plan</w:t>
      </w:r>
      <w:r>
        <w:rPr>
          <w:color w:val="000000"/>
        </w:rPr>
        <w:t>”</w:t>
      </w:r>
      <w:r>
        <w:rPr>
          <w:rFonts w:ascii="Times New Roman;serif" w:hAnsi="Times New Roman;serif"/>
          <w:b w:val="false"/>
          <w:color w:val="000000"/>
          <w:sz w:val="22"/>
        </w:rPr>
        <w:t>), and</w:t>
      </w:r>
    </w:p>
    <w:p>
      <w:pPr>
        <w:pStyle w:val="TextBody"/>
        <w:bidi w:val="0"/>
        <w:spacing w:before="240" w:after="283"/>
        <w:ind w:left="0" w:right="0" w:firstLine="720"/>
        <w:jc w:val="both"/>
        <w:rPr/>
      </w:pPr>
      <w:r>
        <w:rPr/>
      </w:r>
    </w:p>
    <w:p>
      <w:pPr>
        <w:pStyle w:val="TextBody"/>
        <w:bidi w:val="0"/>
        <w:spacing w:lineRule="auto" w:line="288" w:before="0" w:after="0"/>
        <w:ind w:left="0" w:right="0" w:hanging="361"/>
        <w:jc w:val="both"/>
        <w:rPr/>
      </w:pPr>
      <w:r>
        <w:rPr>
          <w:rFonts w:ascii="Times New Roman;serif" w:hAnsi="Times New Roman;serif"/>
          <w:b w:val="false"/>
          <w:color w:val="000000"/>
          <w:sz w:val="24"/>
        </w:rPr>
        <w:t>B.</w:t>
      </w:r>
      <w:r>
        <w:rPr>
          <w:rFonts w:ascii="Times New Roman;serif" w:hAnsi="Times New Roman;serif"/>
          <w:b w:val="false"/>
          <w:color w:val="000000"/>
          <w:sz w:val="22"/>
        </w:rPr>
        <w:t>Palo Alto Networks, Inc., a Delaware corporation, with registered offices at 3000 Tannery Way, Santa Clara, CA 95054, U.S.A.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which may grant Awards under the Plan and is entering into this Election on behalf of the Employer.</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1.</w:t>
      </w:r>
      <w:r>
        <w:rPr>
          <w:rFonts w:ascii="Times New Roman;serif" w:hAnsi="Times New Roman;serif"/>
          <w:b w:val="false"/>
          <w:color w:val="000000"/>
          <w:sz w:val="22"/>
        </w:rPr>
        <w:t>Introduction</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1.1</w:t>
      </w:r>
      <w:r>
        <w:rPr>
          <w:rFonts w:ascii="Times New Roman;serif" w:hAnsi="Times New Roman;serif"/>
          <w:b w:val="false"/>
          <w:color w:val="000000"/>
          <w:sz w:val="22"/>
        </w:rPr>
        <w:t>This Election relates to all Awards granted to the Employee under the Plan up to the termination date of the Plan.</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1.2</w:t>
      </w:r>
      <w:r>
        <w:rPr>
          <w:rFonts w:ascii="Times New Roman;serif" w:hAnsi="Times New Roman;serif"/>
          <w:b w:val="false"/>
          <w:color w:val="000000"/>
          <w:sz w:val="22"/>
        </w:rPr>
        <w:t>In this Election the following words and phrases have the following meanings:</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2"/>
        </w:rPr>
        <w:t>Chargeable Event</w:t>
      </w:r>
      <w:r>
        <w:rPr>
          <w:color w:val="000000"/>
        </w:rPr>
        <w:t xml:space="preserve">” </w:t>
      </w:r>
      <w:r>
        <w:rPr>
          <w:rFonts w:ascii="Times New Roman;serif" w:hAnsi="Times New Roman;serif"/>
          <w:b w:val="false"/>
          <w:color w:val="000000"/>
          <w:sz w:val="22"/>
        </w:rPr>
        <w:t>means any event giving rise to Relevant Employment Income.</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2"/>
        </w:rPr>
        <w:t>ITEPA</w:t>
      </w:r>
      <w:r>
        <w:rPr>
          <w:color w:val="000000"/>
        </w:rPr>
        <w:t xml:space="preserve">” </w:t>
      </w:r>
      <w:r>
        <w:rPr>
          <w:rFonts w:ascii="Times New Roman;serif" w:hAnsi="Times New Roman;serif"/>
          <w:b w:val="false"/>
          <w:color w:val="000000"/>
          <w:sz w:val="22"/>
        </w:rPr>
        <w:t>means the Income Tax (Earnings and Pensions) Act 2003.</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2"/>
        </w:rPr>
        <w:t>Relevant Employment Income</w:t>
      </w:r>
      <w:r>
        <w:rPr>
          <w:color w:val="000000"/>
        </w:rPr>
        <w:t xml:space="preserve">” </w:t>
      </w:r>
      <w:r>
        <w:rPr>
          <w:rFonts w:ascii="Times New Roman;serif" w:hAnsi="Times New Roman;serif"/>
          <w:b w:val="false"/>
          <w:color w:val="000000"/>
          <w:sz w:val="22"/>
        </w:rPr>
        <w:t>from Awards on which Employer’s National Insurance Contributions becomes due is defined as:</w:t>
      </w:r>
    </w:p>
    <w:p>
      <w:pPr>
        <w:pStyle w:val="TextBody"/>
        <w:bidi w:val="0"/>
        <w:spacing w:before="10" w:after="283"/>
        <w:ind w:left="0" w:right="0" w:firstLine="720"/>
        <w:jc w:val="both"/>
        <w:rPr/>
      </w:pPr>
      <w:r>
        <w:rPr/>
      </w:r>
    </w:p>
    <w:p>
      <w:pPr>
        <w:pStyle w:val="TextBody"/>
        <w:bidi w:val="0"/>
        <w:spacing w:lineRule="auto" w:line="266" w:before="0" w:after="0"/>
        <w:ind w:left="0" w:right="0" w:hanging="562"/>
        <w:jc w:val="left"/>
        <w:rPr/>
      </w:pPr>
      <w:r>
        <w:rPr>
          <w:rFonts w:ascii="Times New Roman;serif" w:hAnsi="Times New Roman;serif"/>
          <w:b w:val="false"/>
          <w:color w:val="000000"/>
          <w:sz w:val="24"/>
        </w:rPr>
        <w:t>(i)</w:t>
      </w:r>
      <w:r>
        <w:rPr>
          <w:rFonts w:ascii="Times New Roman;serif" w:hAnsi="Times New Roman;serif"/>
          <w:b w:val="false"/>
          <w:color w:val="000000"/>
          <w:sz w:val="22"/>
        </w:rPr>
        <w:t>an amount that counts as employment income of the earner under section 426 ITEPA (restricted securities: charge on certain post-acquisition events);</w:t>
      </w:r>
    </w:p>
    <w:p>
      <w:pPr>
        <w:pStyle w:val="TextBody"/>
        <w:bidi w:val="0"/>
        <w:spacing w:before="8" w:after="283"/>
        <w:ind w:left="0" w:right="0" w:firstLine="720"/>
        <w:jc w:val="both"/>
        <w:rPr/>
      </w:pPr>
      <w:r>
        <w:rPr/>
      </w:r>
    </w:p>
    <w:p>
      <w:pPr>
        <w:pStyle w:val="TextBody"/>
        <w:bidi w:val="0"/>
        <w:spacing w:lineRule="auto" w:line="266" w:before="0" w:after="0"/>
        <w:ind w:left="0" w:right="0" w:hanging="617"/>
        <w:jc w:val="left"/>
        <w:rPr/>
      </w:pPr>
      <w:r>
        <w:rPr>
          <w:rFonts w:ascii="Times New Roman;serif" w:hAnsi="Times New Roman;serif"/>
          <w:b w:val="false"/>
          <w:color w:val="000000"/>
          <w:sz w:val="24"/>
        </w:rPr>
        <w:t>(ii)</w:t>
      </w:r>
      <w:r>
        <w:rPr>
          <w:rFonts w:ascii="Times New Roman;serif" w:hAnsi="Times New Roman;serif"/>
          <w:b w:val="false"/>
          <w:color w:val="000000"/>
          <w:sz w:val="22"/>
        </w:rPr>
        <w:t>an amount that counts as employment income of the earner under section 438 of ITEPA (convertible securities: charge on certain post-acquisition events); or</w:t>
      </w:r>
    </w:p>
    <w:p>
      <w:pPr>
        <w:pStyle w:val="TextBody"/>
        <w:bidi w:val="0"/>
        <w:spacing w:before="10" w:after="283"/>
        <w:ind w:left="0" w:right="0" w:firstLine="720"/>
        <w:jc w:val="both"/>
        <w:rPr/>
      </w:pPr>
      <w:r>
        <w:rPr/>
      </w:r>
    </w:p>
    <w:p>
      <w:pPr>
        <w:pStyle w:val="TextBody"/>
        <w:bidi w:val="0"/>
        <w:spacing w:lineRule="auto" w:line="266" w:before="1" w:after="283"/>
        <w:ind w:left="0" w:right="0" w:hanging="670"/>
        <w:jc w:val="left"/>
        <w:rPr/>
      </w:pPr>
      <w:r>
        <w:rPr>
          <w:rFonts w:ascii="Times New Roman;serif" w:hAnsi="Times New Roman;serif"/>
          <w:b w:val="false"/>
          <w:color w:val="000000"/>
          <w:sz w:val="24"/>
        </w:rPr>
        <w:t>(iii)</w:t>
      </w:r>
      <w:r>
        <w:rPr>
          <w:rFonts w:ascii="Times New Roman;serif" w:hAnsi="Times New Roman;serif"/>
          <w:b w:val="false"/>
          <w:color w:val="000000"/>
          <w:sz w:val="22"/>
        </w:rPr>
        <w:t>any gain that is treated as remuneration derived from the earner’s employment by virtue of section 4(4)(a) SSCBA, including without limitation:</w:t>
      </w:r>
    </w:p>
    <w:p>
      <w:pPr>
        <w:pStyle w:val="TextBody"/>
        <w:bidi w:val="0"/>
        <w:spacing w:before="1"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the acquisition of securities pursuant to the Awards (within the meaning of section 477(3)(a) of ITEPA);</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the assignment (if applicable) or release of the Awards in return for consideration (within the meaning of section 477(3)(b) of ITEPA);</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the receipt of a benefit in connection with the Awards, other than a benefit within (i) or (ii) above (within the meaning of section 477(3)(c) of ITEPA).</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2"/>
        </w:rPr>
        <w:t>SSCBA</w:t>
      </w:r>
      <w:r>
        <w:rPr>
          <w:color w:val="000000"/>
        </w:rPr>
        <w:t xml:space="preserve">” </w:t>
      </w:r>
      <w:r>
        <w:rPr>
          <w:rFonts w:ascii="Times New Roman;serif" w:hAnsi="Times New Roman;serif"/>
          <w:b w:val="false"/>
          <w:color w:val="000000"/>
          <w:sz w:val="22"/>
        </w:rPr>
        <w:t>means the Social Security Contributions and Benefits Act 1992.</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1.3</w:t>
      </w:r>
      <w:r>
        <w:rPr>
          <w:rFonts w:ascii="Times New Roman;serif" w:hAnsi="Times New Roman;serif"/>
          <w:b w:val="false"/>
          <w:color w:val="000000"/>
          <w:sz w:val="22"/>
        </w:rPr>
        <w:t>This Election relates to the Employer’s secondary Class 1 National Insurance Contributions (the “</w:t>
      </w:r>
      <w:r>
        <w:rPr>
          <w:rFonts w:ascii="Times New Roman;serif" w:hAnsi="Times New Roman;serif"/>
          <w:b/>
          <w:color w:val="000000"/>
          <w:sz w:val="22"/>
        </w:rPr>
        <w:t>Employer’s Liability</w:t>
      </w:r>
      <w:r>
        <w:rPr>
          <w:color w:val="000000"/>
        </w:rPr>
        <w:t>”</w:t>
      </w:r>
      <w:r>
        <w:rPr>
          <w:rFonts w:ascii="Times New Roman;serif" w:hAnsi="Times New Roman;serif"/>
          <w:b w:val="false"/>
          <w:color w:val="000000"/>
          <w:sz w:val="22"/>
        </w:rPr>
        <w:t>) which may arise in respect of Relevant Employment Income in respect of the Awards pursuant to section 4(4)(a) and/or paragraph 3B(1A) of Schedule 1 of the SSCBA.</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1.4</w:t>
      </w:r>
      <w:r>
        <w:rPr>
          <w:rFonts w:ascii="Times New Roman;serif" w:hAnsi="Times New Roman;serif"/>
          <w:b w:val="false"/>
          <w:color w:val="000000"/>
          <w:sz w:val="22"/>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1.5</w:t>
      </w:r>
      <w:r>
        <w:rPr>
          <w:rFonts w:ascii="Times New Roman;serif" w:hAnsi="Times New Roman;serif"/>
          <w:b w:val="false"/>
          <w:color w:val="000000"/>
          <w:sz w:val="22"/>
        </w:rPr>
        <w:t>This Election does not apply to the extent that it relates to relevant employment income which is employment income of the earner by virtue of Chapter 3A of Part VII of ITEPA (employment income: securities with artificially depressed market value).</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2.</w:t>
      </w:r>
      <w:r>
        <w:rPr>
          <w:rFonts w:ascii="Times New Roman;serif" w:hAnsi="Times New Roman;serif"/>
          <w:b w:val="false"/>
          <w:color w:val="000000"/>
          <w:sz w:val="22"/>
        </w:rPr>
        <w:t>The Election</w:t>
      </w:r>
    </w:p>
    <w:p>
      <w:pPr>
        <w:pStyle w:val="TextBody"/>
        <w:bidi w:val="0"/>
        <w:spacing w:before="7" w:after="283"/>
        <w:ind w:left="0" w:right="0" w:firstLine="720"/>
        <w:jc w:val="both"/>
        <w:rPr/>
      </w:pPr>
      <w:r>
        <w:rPr/>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Employee and the Company jointly elect that the entire liability of the Employer to pay the Employer’s Liability that arises on any Relevant Employment Income is hereby transferred to the Employee. The Employee understands that, by signing this Election (including by electronic signature process) or by accepting the Awards (including by electronic acceptance process if made available by the Company), as applicable, he or she will become personally liable for the Employer’s Liability covered by this Election. This Election is made in accordance with paragraph 3B(1) of Schedule 1 of the SSCBA.</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3.</w:t>
      </w:r>
      <w:r>
        <w:rPr>
          <w:rFonts w:ascii="Times New Roman;serif" w:hAnsi="Times New Roman;serif"/>
          <w:b w:val="false"/>
          <w:color w:val="000000"/>
          <w:sz w:val="22"/>
        </w:rPr>
        <w:t>Payment of the Employer’s Liability</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3.1</w:t>
      </w:r>
      <w:r>
        <w:rPr>
          <w:rFonts w:ascii="Times New Roman;serif" w:hAnsi="Times New Roman;serif"/>
          <w:b w:val="false"/>
          <w:color w:val="000000"/>
          <w:sz w:val="22"/>
        </w:rPr>
        <w:t>The Employee hereby authorises the Company and/or the Employer to collect the Employer’s Liability in respect of any Relevant Employment Income from the Employee at any time after the Chargeable Event: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by deduction from salary or any other payment payable to the Employee at any time on or after the date of the Chargeable Event;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directly from the Employee by payment in cash or cleared funds;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by arranging, on behalf of the Employee, for the sale of some of the securities which the Employee is entitled to receive in respect of the Awards, the proceeds from which must be delivered to the Employer in sufficient time for payment to be made to HM Revenue &amp; Customs (“</w:t>
      </w:r>
      <w:r>
        <w:rPr>
          <w:rFonts w:ascii="Times New Roman;serif" w:hAnsi="Times New Roman;serif"/>
          <w:b/>
          <w:color w:val="000000"/>
          <w:sz w:val="22"/>
        </w:rPr>
        <w:t>HMRC</w:t>
      </w:r>
      <w:r>
        <w:rPr>
          <w:color w:val="000000"/>
        </w:rPr>
        <w:t>”</w:t>
      </w:r>
      <w:r>
        <w:rPr>
          <w:rFonts w:ascii="Times New Roman;serif" w:hAnsi="Times New Roman;serif"/>
          <w:b w:val="false"/>
          <w:color w:val="000000"/>
          <w:sz w:val="22"/>
        </w:rPr>
        <w:t>) by the due date; and/or</w:t>
      </w:r>
    </w:p>
    <w:p>
      <w:pPr>
        <w:pStyle w:val="TextBody"/>
        <w:bidi w:val="0"/>
        <w:spacing w:before="240" w:after="283"/>
        <w:ind w:left="0" w:right="0" w:firstLine="719"/>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2"/>
        </w:rPr>
        <w:t>where the proceeds of the gain are to be paid through a third party, the Employee will authorize that party to withhold an amount from the payment or to sell some of the securities which the Employee is entitled to receive in respect of the Awards; and/or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(e)</w:t>
      </w:r>
      <w:r>
        <w:rPr>
          <w:rFonts w:ascii="Times New Roman;serif" w:hAnsi="Times New Roman;serif"/>
          <w:b w:val="false"/>
          <w:color w:val="000000"/>
          <w:sz w:val="22"/>
        </w:rPr>
        <w:t>by any other means specified in the applicable Restricted Stock Unit agreement entered into between the Employee and the Company.</w:t>
      </w:r>
    </w:p>
    <w:p>
      <w:pPr>
        <w:pStyle w:val="TextBody"/>
        <w:bidi w:val="0"/>
        <w:spacing w:before="240" w:after="283"/>
        <w:ind w:left="0" w:right="0" w:firstLine="719"/>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3.2</w:t>
      </w:r>
      <w:r>
        <w:rPr>
          <w:rFonts w:ascii="Times New Roman;serif" w:hAnsi="Times New Roman;serif"/>
          <w:b w:val="false"/>
          <w:color w:val="000000"/>
          <w:sz w:val="22"/>
        </w:rPr>
        <w:t>The Company hereby reserves for itself and the Employer the right to withhold the transfer of any securities to the Employee in respect of the Awards until full payment of the Employer’s Liability is received.</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3.3</w:t>
      </w:r>
      <w:r>
        <w:rPr>
          <w:rFonts w:ascii="Times New Roman;serif" w:hAnsi="Times New Roman;serif"/>
          <w:b w:val="false"/>
          <w:color w:val="000000"/>
          <w:sz w:val="22"/>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pStyle w:val="TextBody"/>
        <w:bidi w:val="0"/>
        <w:spacing w:before="5" w:after="283"/>
        <w:ind w:left="0" w:right="0" w:firstLine="720"/>
        <w:jc w:val="both"/>
        <w:rPr/>
      </w:pPr>
      <w:r>
        <w:rPr/>
      </w:r>
    </w:p>
    <w:p>
      <w:pPr>
        <w:pStyle w:val="TextBody"/>
        <w:bidi w:val="0"/>
        <w:spacing w:lineRule="auto" w:line="288" w:before="240" w:after="283"/>
        <w:ind w:left="0" w:right="0" w:hanging="720"/>
        <w:jc w:val="both"/>
        <w:rPr/>
      </w:pPr>
      <w:r>
        <w:rPr>
          <w:rFonts w:ascii="Times New Roman;serif" w:hAnsi="Times New Roman;serif"/>
          <w:b/>
          <w:color w:val="000000"/>
          <w:sz w:val="22"/>
        </w:rPr>
        <w:t>4.</w:t>
      </w:r>
      <w:r>
        <w:rPr>
          <w:rFonts w:ascii="Times New Roman;serif" w:hAnsi="Times New Roman;serif"/>
          <w:b w:val="false"/>
          <w:color w:val="000000"/>
          <w:sz w:val="22"/>
        </w:rPr>
        <w:t>Duration of Election</w:t>
      </w:r>
    </w:p>
    <w:p>
      <w:pPr>
        <w:pStyle w:val="TextBody"/>
        <w:bidi w:val="0"/>
        <w:spacing w:before="7"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4.1</w:t>
      </w:r>
      <w:r>
        <w:rPr>
          <w:rFonts w:ascii="Times New Roman;serif" w:hAnsi="Times New Roman;serif"/>
          <w:b w:val="false"/>
          <w:color w:val="000000"/>
          <w:sz w:val="22"/>
        </w:rPr>
        <w:t>The Employee and the Company agree to be bound by the terms of this Election regardless of whether the Employee is transferred abroad or is not employed by the Employer on the date on which the Employer’s Liability becomes due.</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4.2</w:t>
      </w:r>
      <w:r>
        <w:rPr>
          <w:rFonts w:ascii="Times New Roman;serif" w:hAnsi="Times New Roman;serif"/>
          <w:b w:val="false"/>
          <w:color w:val="000000"/>
          <w:sz w:val="22"/>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4.3</w:t>
      </w:r>
      <w:r>
        <w:rPr>
          <w:rFonts w:ascii="Times New Roman;serif" w:hAnsi="Times New Roman;serif"/>
          <w:b w:val="false"/>
          <w:color w:val="000000"/>
          <w:sz w:val="22"/>
        </w:rPr>
        <w:t>This Election will continue in effect until the earliest of the following:</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(a)</w:t>
      </w:r>
      <w:r>
        <w:rPr>
          <w:rFonts w:ascii="Times New Roman;serif" w:hAnsi="Times New Roman;serif"/>
          <w:b w:val="false"/>
          <w:color w:val="000000"/>
          <w:sz w:val="22"/>
        </w:rPr>
        <w:t>the date on which the Employee and the Company agree in writing that it should cease to have effect;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(b)</w:t>
      </w:r>
      <w:r>
        <w:rPr>
          <w:rFonts w:ascii="Times New Roman;serif" w:hAnsi="Times New Roman;serif"/>
          <w:b w:val="false"/>
          <w:color w:val="000000"/>
          <w:sz w:val="22"/>
        </w:rPr>
        <w:t>the date on which the Company serves written notice on the Employee terminating its effect;</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(c)</w:t>
      </w:r>
      <w:r>
        <w:rPr>
          <w:rFonts w:ascii="Times New Roman;serif" w:hAnsi="Times New Roman;serif"/>
          <w:b w:val="false"/>
          <w:color w:val="000000"/>
          <w:sz w:val="22"/>
        </w:rPr>
        <w:t>the date on which HMRC withdraws approval of this Election; or</w:t>
      </w:r>
    </w:p>
    <w:p>
      <w:pPr>
        <w:pStyle w:val="TextBody"/>
        <w:bidi w:val="0"/>
        <w:spacing w:before="240" w:after="283"/>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(d)</w:t>
      </w:r>
      <w:r>
        <w:rPr>
          <w:rFonts w:ascii="Times New Roman;serif" w:hAnsi="Times New Roman;serif"/>
          <w:b w:val="false"/>
          <w:color w:val="000000"/>
          <w:sz w:val="22"/>
        </w:rPr>
        <w:t>the date on which, after due payment of the Employer’s Liability in respect of the entirety of the Awards to which this Election relates or could relate, the Election ceases to have effect in accordance with its own terms.</w:t>
      </w:r>
    </w:p>
    <w:p>
      <w:pPr>
        <w:pStyle w:val="TextBody"/>
        <w:bidi w:val="0"/>
        <w:spacing w:before="240" w:after="283"/>
        <w:ind w:left="0" w:right="0" w:firstLine="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4.4</w:t>
      </w:r>
      <w:r>
        <w:rPr>
          <w:rFonts w:ascii="Times New Roman;serif" w:hAnsi="Times New Roman;serif"/>
          <w:b w:val="false"/>
          <w:color w:val="000000"/>
          <w:sz w:val="22"/>
        </w:rPr>
        <w:t>This Election will continue in force regardless of whether the Employee ceases to be an employee of the Employer.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27660"/>
                <wp:effectExtent l="0" t="0" r="0" b="0"/>
                <wp:wrapNone/>
                <wp:docPr id="114" name="Frame1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79"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Acceptance by the Employee</w:t>
      </w:r>
    </w:p>
    <w:p>
      <w:pPr>
        <w:pStyle w:val="TextBody"/>
        <w:bidi w:val="0"/>
        <w:spacing w:before="2" w:after="283"/>
        <w:ind w:left="0" w:right="0" w:firstLine="720"/>
        <w:jc w:val="both"/>
        <w:rPr/>
      </w:pPr>
      <w:r>
        <w:rPr/>
      </w:r>
    </w:p>
    <w:p>
      <w:pPr>
        <w:pStyle w:val="TextBody"/>
        <w:bidi w:val="0"/>
        <w:spacing w:lineRule="auto" w:line="288" w:before="9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The Employee acknowledges that, by signing this Election (including by electronic signature process) or by accepting the Awards (including by electronic acceptance process if made available by the Company), the Employee agrees to be bound by the terms of this Election.</w:t>
      </w:r>
    </w:p>
    <w:p>
      <w:pPr>
        <w:pStyle w:val="TextBody"/>
        <w:bidi w:val="0"/>
        <w:spacing w:before="240" w:after="283"/>
        <w:ind w:left="0" w:right="0" w:firstLine="720"/>
        <w:jc w:val="both"/>
        <w:rPr/>
      </w:pPr>
      <w:r>
        <w:rPr/>
      </w:r>
    </w:p>
    <w:p>
      <w:pPr>
        <w:pStyle w:val="TextBody"/>
        <w:bidi w:val="0"/>
        <w:spacing w:before="7" w:after="283"/>
        <w:ind w:left="0" w:right="0" w:firstLine="720"/>
        <w:jc w:val="both"/>
        <w:rPr/>
      </w:pPr>
      <w:r>
        <w:rPr/>
      </w:r>
    </w:p>
    <w:p>
      <w:pPr>
        <w:pStyle w:val="TextBody"/>
        <w:bidi w:val="0"/>
        <w:spacing w:lineRule="auto" w:line="556"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Employee: </w:t>
      </w:r>
    </w:p>
    <w:p>
      <w:pPr>
        <w:pStyle w:val="TextBody"/>
        <w:bidi w:val="0"/>
        <w:spacing w:before="4"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color w:val="000000"/>
          <w:sz w:val="22"/>
          <w:u w:val="single"/>
        </w:rPr>
      </w:pPr>
      <w:r>
        <w:rPr>
          <w:rFonts w:ascii="Times New Roman;serif" w:hAnsi="Times New Roman;serif"/>
          <w:b/>
          <w:color w:val="000000"/>
          <w:sz w:val="22"/>
          <w:u w:val="single"/>
        </w:rPr>
        <w:t>Acceptance by the Company</w:t>
      </w:r>
    </w:p>
    <w:p>
      <w:pPr>
        <w:pStyle w:val="TextBody"/>
        <w:bidi w:val="0"/>
        <w:spacing w:before="2" w:after="283"/>
        <w:ind w:left="0" w:right="0" w:firstLine="720"/>
        <w:jc w:val="both"/>
        <w:rPr/>
      </w:pPr>
      <w:r>
        <w:rPr/>
      </w:r>
    </w:p>
    <w:p>
      <w:pPr>
        <w:pStyle w:val="TextBody"/>
        <w:bidi w:val="0"/>
        <w:spacing w:lineRule="auto" w:line="288" w:before="90" w:after="283"/>
        <w:ind w:left="0" w:right="0" w:firstLine="22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that, by signing this Election (including by electronic signature process) or arranging for the scanned signature of an authorised representative to appear on this Election, the Company agrees to be bound by the terms of this Election.</w:t>
      </w:r>
    </w:p>
    <w:p>
      <w:pPr>
        <w:pStyle w:val="TextBody"/>
        <w:bidi w:val="0"/>
        <w:spacing w:before="240" w:after="283"/>
        <w:ind w:left="0" w:right="0" w:firstLine="720"/>
        <w:jc w:val="both"/>
        <w:rPr/>
      </w:pPr>
      <w:r>
        <w:rPr/>
      </w:r>
    </w:p>
    <w:tbl>
      <w:tblPr>
        <w:tblW w:w="4304" w:type="dxa"/>
        <w:jc w:val="left"/>
        <w:tblInd w:w="0" w:type="dxa"/>
        <w:tblLayout w:type="fixed"/>
        <w:tblCellMar>
          <w:top w:w="28" w:type="dxa"/>
          <w:left w:w="28" w:type="dxa"/>
          <w:bottom w:w="28" w:type="dxa"/>
          <w:right w:w="28" w:type="dxa"/>
        </w:tblCellMar>
      </w:tblPr>
      <w:tblGrid>
        <w:gridCol w:w="744"/>
        <w:gridCol w:w="657"/>
        <w:gridCol w:w="657"/>
        <w:gridCol w:w="657"/>
        <w:gridCol w:w="657"/>
        <w:gridCol w:w="932"/>
      </w:tblGrid>
      <w:tr>
        <w:trPr/>
        <w:tc>
          <w:tcPr>
            <w:tcW w:w="74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4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Signature for and on behalf of the Company</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INC.</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r>
    </w:tbl>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7660"/>
                <wp:effectExtent l="0" t="0" r="0" b="0"/>
                <wp:wrapNone/>
                <wp:docPr id="115" name="Frame1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ind w:left="0" w:right="0" w:firstLine="1440"/>
        <w:jc w:val="center"/>
        <w:rPr>
          <w:rFonts w:ascii="Times New Roman;serif" w:hAnsi="Times New Roman;serif"/>
          <w:b w:val="false"/>
          <w:color w:val="000000"/>
          <w:sz w:val="22"/>
        </w:rPr>
      </w:pPr>
      <w:r>
        <w:rPr>
          <w:rFonts w:ascii="Times New Roman;serif" w:hAnsi="Times New Roman;serif"/>
          <w:b w:val="false"/>
          <w:color w:val="000000"/>
          <w:sz w:val="22"/>
        </w:rPr>
        <w:t>Schedule of Employer Companies</w:t>
      </w:r>
    </w:p>
    <w:p>
      <w:pPr>
        <w:pStyle w:val="TextBody"/>
        <w:bidi w:val="0"/>
        <w:spacing w:before="6" w:after="283"/>
        <w:ind w:left="0" w:right="0" w:firstLine="720"/>
        <w:jc w:val="both"/>
        <w:rPr/>
      </w:pPr>
      <w:r>
        <w:rPr/>
      </w:r>
    </w:p>
    <w:p>
      <w:pPr>
        <w:pStyle w:val="TextBody"/>
        <w:bidi w:val="0"/>
        <w:spacing w:lineRule="auto" w:line="288" w:before="1"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employing companies to which this Election relates include:</w:t>
      </w:r>
    </w:p>
    <w:p>
      <w:pPr>
        <w:pStyle w:val="TextBody"/>
        <w:bidi w:val="0"/>
        <w:spacing w:before="5" w:after="283"/>
        <w:ind w:left="0" w:right="0" w:firstLine="720"/>
        <w:jc w:val="both"/>
        <w:rPr/>
      </w:pPr>
      <w:r>
        <w:rPr/>
      </w:r>
    </w:p>
    <w:tbl>
      <w:tblPr>
        <w:tblW w:w="8579" w:type="dxa"/>
        <w:jc w:val="left"/>
        <w:tblInd w:w="0" w:type="dxa"/>
        <w:tblLayout w:type="fixed"/>
        <w:tblCellMar>
          <w:top w:w="28" w:type="dxa"/>
          <w:left w:w="28" w:type="dxa"/>
          <w:bottom w:w="28" w:type="dxa"/>
          <w:right w:w="28" w:type="dxa"/>
        </w:tblCellMar>
      </w:tblPr>
      <w:tblGrid>
        <w:gridCol w:w="1124"/>
        <w:gridCol w:w="987"/>
        <w:gridCol w:w="994"/>
        <w:gridCol w:w="1599"/>
        <w:gridCol w:w="1599"/>
        <w:gridCol w:w="2276"/>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Palo Alto Networks (UK) Limited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9" w:after="283"/>
              <w:jc w:val="both"/>
              <w:rPr>
                <w:rFonts w:ascii="Times New Roman;serif" w:hAnsi="Times New Roman;serif"/>
                <w:b w:val="false"/>
                <w:color w:val="000000"/>
                <w:sz w:val="22"/>
              </w:rPr>
            </w:pPr>
            <w:r>
              <w:rPr>
                <w:rFonts w:ascii="Times New Roman;serif" w:hAnsi="Times New Roman;serif"/>
                <w:b w:val="false"/>
                <w:color w:val="000000"/>
                <w:sz w:val="22"/>
              </w:rPr>
              <w:t>22 Bishopsgate, Level 55, London, EC2N 4BQ, England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Company Registration Number:</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06851390</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Corporation Tax Reference: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14747 26068</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Tax District</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 – North East Metropolitan</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Reference:</w:t>
            </w:r>
          </w:p>
        </w:tc>
        <w:tc>
          <w:tcPr>
            <w:tcW w:w="5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120/PH00260439</w:t>
            </w:r>
          </w:p>
        </w:tc>
      </w:tr>
    </w:tbl>
    <w:p>
      <w:pPr>
        <w:pStyle w:val="TextBody"/>
        <w:bidi w:val="0"/>
        <w:spacing w:before="240" w:after="283"/>
        <w:ind w:left="0" w:right="0" w:firstLine="720"/>
        <w:jc w:val="both"/>
        <w:rPr/>
      </w:pPr>
      <w:r>
        <w:rPr/>
      </w:r>
    </w:p>
    <w:tbl>
      <w:tblPr>
        <w:tblW w:w="8579" w:type="dxa"/>
        <w:jc w:val="left"/>
        <w:tblInd w:w="0" w:type="dxa"/>
        <w:tblLayout w:type="fixed"/>
        <w:tblCellMar>
          <w:top w:w="28" w:type="dxa"/>
          <w:left w:w="28" w:type="dxa"/>
          <w:bottom w:w="28" w:type="dxa"/>
          <w:right w:w="28" w:type="dxa"/>
        </w:tblCellMar>
      </w:tblPr>
      <w:tblGrid>
        <w:gridCol w:w="1124"/>
        <w:gridCol w:w="987"/>
        <w:gridCol w:w="994"/>
        <w:gridCol w:w="1602"/>
        <w:gridCol w:w="1602"/>
        <w:gridCol w:w="2270"/>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Name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Palo Alto Networks FS International Limited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Registered Office: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9" w:after="283"/>
              <w:jc w:val="both"/>
              <w:rPr>
                <w:rFonts w:ascii="Times New Roman;serif" w:hAnsi="Times New Roman;serif"/>
                <w:b w:val="false"/>
                <w:color w:val="000000"/>
                <w:sz w:val="22"/>
              </w:rPr>
            </w:pPr>
            <w:r>
              <w:rPr>
                <w:rFonts w:ascii="Times New Roman;serif" w:hAnsi="Times New Roman;serif"/>
                <w:b w:val="false"/>
                <w:color w:val="000000"/>
                <w:sz w:val="22"/>
              </w:rPr>
              <w:t>22 Bishopsgate, Level 55, London, EC2N 4BQ, England</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Company Registration Number:</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13789823</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Corporation Tax Reference:</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26559 18447</w:t>
            </w:r>
          </w:p>
        </w:tc>
      </w:tr>
      <w:tr>
        <w:trPr/>
        <w:tc>
          <w:tcPr>
            <w:tcW w:w="31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Tax District</w:t>
            </w:r>
          </w:p>
        </w:tc>
        <w:tc>
          <w:tcPr>
            <w:tcW w:w="5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 – North East Metropolitan</w:t>
            </w:r>
          </w:p>
        </w:tc>
      </w:tr>
      <w:tr>
        <w:trPr/>
        <w:tc>
          <w:tcPr>
            <w:tcW w:w="31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4" w:before="240" w:after="283"/>
              <w:ind w:left="0" w:right="0" w:hanging="0"/>
              <w:jc w:val="both"/>
              <w:rPr>
                <w:rFonts w:ascii="Times New Roman;serif" w:hAnsi="Times New Roman;serif"/>
                <w:b w:val="false"/>
                <w:color w:val="000000"/>
                <w:sz w:val="22"/>
              </w:rPr>
            </w:pPr>
            <w:r>
              <w:rPr>
                <w:rFonts w:ascii="Times New Roman;serif" w:hAnsi="Times New Roman;serif"/>
                <w:b w:val="false"/>
                <w:color w:val="000000"/>
                <w:sz w:val="22"/>
              </w:rPr>
              <w:t>PAYE Reference:</w:t>
            </w:r>
          </w:p>
        </w:tc>
        <w:tc>
          <w:tcPr>
            <w:tcW w:w="5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4" w:before="240" w:after="283"/>
              <w:jc w:val="both"/>
              <w:rPr>
                <w:rFonts w:ascii="Times New Roman;serif" w:hAnsi="Times New Roman;serif"/>
                <w:b w:val="false"/>
                <w:color w:val="000000"/>
                <w:sz w:val="22"/>
              </w:rPr>
            </w:pPr>
            <w:r>
              <w:rPr>
                <w:rFonts w:ascii="Times New Roman;serif" w:hAnsi="Times New Roman;serif"/>
                <w:b w:val="false"/>
                <w:color w:val="000000"/>
                <w:sz w:val="22"/>
              </w:rPr>
              <w:t>120/TE66757</w:t>
            </w:r>
          </w:p>
        </w:tc>
      </w:tr>
    </w:tbl>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16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7660"/>
                <wp:effectExtent l="0" t="0" r="0" b="0"/>
                <wp:wrapNone/>
                <wp:docPr id="116" name="Frame1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240" w:after="283"/>
                        <w:jc w:val="both"/>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jc w:val="center"/>
        <w:rPr>
          <w:rFonts w:ascii="Times New Roman;serif" w:hAnsi="Times New Roman;serif"/>
          <w:b/>
          <w:i/>
          <w:color w:val="000000"/>
          <w:sz w:val="24"/>
        </w:rPr>
      </w:pPr>
      <w:r>
        <w:rPr>
          <w:rFonts w:ascii="Times New Roman;serif" w:hAnsi="Times New Roman;serif"/>
          <w:b/>
          <w:i/>
          <w:color w:val="000000"/>
          <w:sz w:val="24"/>
        </w:rPr>
        <w:t>(as amended and restated December 12, 2024)</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the Plan is to provide employees of the Company and its Designated Companies with an opportunity to purchase Common Stock through accumulated Contributions. The Company intends for the Plan to have two components: a Code Section 423 Component (“423 Component”) and a Non-Code Section 423 Component (“Non-423 Component”).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Definitions.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or any Committee designated by the Board to administer the Plan pursuant to Section 14.</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entity, other than a Subsidiary, in which the Company has an equity or other ownership interest.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Applicable Laws</w:t>
      </w:r>
      <w:r>
        <w:rPr>
          <w:color w:val="000000"/>
        </w:rPr>
        <w:t xml:space="preserve">” </w:t>
      </w:r>
      <w:r>
        <w:rPr>
          <w:rFonts w:ascii="Times New Roman;serif" w:hAnsi="Times New Roman;serif"/>
          <w:b w:val="false"/>
          <w:color w:val="000000"/>
          <w:sz w:val="24"/>
        </w:rPr>
        <w:t>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    A change in the ownership of the Company which occurs on the date that any one person, or more than one person acting as a group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 committee of the Board appointed in accordance with Section 14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common stock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Palo Alto Networks, Inc., a Delaware corporation, or any successor thereto.</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 an Eligible Employee’s base straight time gross earnings, payments for overtime and shift premium, but exclusive of payments for commissions, incentive compensation, bonuses and other similar compensation. The Administrator, in its discretion, may, on a uniform and nondiscriminatory basis, establish a different definition of Compensation for a subsequent Offering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Contributions</w:t>
      </w:r>
      <w:r>
        <w:rPr>
          <w:color w:val="000000"/>
        </w:rPr>
        <w:t xml:space="preserve">” </w:t>
      </w:r>
      <w:r>
        <w:rPr>
          <w:rFonts w:ascii="Times New Roman;serif" w:hAnsi="Times New Roman;serif"/>
          <w:b w:val="false"/>
          <w:color w:val="000000"/>
          <w:sz w:val="24"/>
        </w:rPr>
        <w:t>means the payroll deductions and other additional payments that the Company may permit to be made by a Participant to fund the exercise of options granted pursuant to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Designated Company</w:t>
      </w:r>
      <w:r>
        <w:rPr>
          <w:color w:val="000000"/>
        </w:rPr>
        <w:t xml:space="preserve">” </w:t>
      </w:r>
      <w:r>
        <w:rPr>
          <w:rFonts w:ascii="Times New Roman;serif" w:hAnsi="Times New Roman;serif"/>
          <w:b w:val="false"/>
          <w:color w:val="000000"/>
          <w:sz w:val="24"/>
        </w:rPr>
        <w:t>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w:t>
      </w:r>
    </w:p>
    <w:p>
      <w:pPr>
        <w:pStyle w:val="TextBody"/>
        <w:bidi w:val="0"/>
        <w:spacing w:lineRule="auto" w:line="288" w:before="120" w:after="120"/>
        <w:ind w:left="0" w:right="0" w:firstLine="1440"/>
        <w:jc w:val="both"/>
        <w:rPr/>
      </w:pPr>
      <w:r>
        <w:rPr>
          <w:rFonts w:ascii="Times New Roman;serif" w:hAnsi="Times New Roman;serif"/>
          <w:b w:val="false"/>
          <w:color w:val="000000"/>
          <w:sz w:val="24"/>
        </w:rPr>
        <w:t>(n)    </w:t>
      </w:r>
      <w:r>
        <w:rPr>
          <w:color w:val="000000"/>
          <w:shd w:fill="FFFFFF" w:val="clear"/>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any individual who is providing services to the Company or a Designated Company as an employee and is considered by the Company or a Designated Company to be an employee and who meets any minimum service limitations determined under the methodology specified below. For purposes of clarity, the term “Eligible Employee” shall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 (vii) any leased employee within the meaning of Code Section 414(n), including such persons leased from a professional employer organization.  The exclusive means for individuals who are not contemporaneously classified as employees of the Company or a Designated Company on the Company’s or Designated Company’s payroll system on an Enrollment Date to become eligible to participate in the Plan is through the adoption of a subplan that specifically designates such individuals eligible to participate.</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The Administrator retains the authority to revise the definition of Eligible Employee (on a uniform and nondiscriminatory basis or as otherwise permitted by Treasury Regulation Section 1.423-2). Accordingly,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Until subsequent action is taken by the Administrator, to be an Eligible Employee an individual must be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for Eligible Employees participating in the Non-423 Component. Each exclusion shall be applied with respect to an Offering in a manner complying with U.S. Treasury Regulation Section 1.423-2(e)(2)(ii).</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employer of the applicable Eligible Employee(s).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Enrollment Date</w:t>
      </w:r>
      <w:r>
        <w:rPr>
          <w:color w:val="000000"/>
        </w:rPr>
        <w:t xml:space="preserve">” </w:t>
      </w:r>
      <w:r>
        <w:rPr>
          <w:rFonts w:ascii="Times New Roman;serif" w:hAnsi="Times New Roman;serif"/>
          <w:b w:val="false"/>
          <w:color w:val="000000"/>
          <w:sz w:val="24"/>
        </w:rPr>
        <w:t>means the first Trading Day of each Offering Period.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including the rules and regulations promulgated thereunder.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Exercise Date</w:t>
      </w:r>
      <w:r>
        <w:rPr>
          <w:color w:val="000000"/>
        </w:rPr>
        <w:t xml:space="preserve">” </w:t>
      </w:r>
      <w:r>
        <w:rPr>
          <w:rFonts w:ascii="Times New Roman;serif" w:hAnsi="Times New Roman;serif"/>
          <w:b w:val="false"/>
          <w:color w:val="000000"/>
          <w:sz w:val="24"/>
        </w:rPr>
        <w:t>means the first Trading Day on or after February 28 and August 31 of each Purchase Period. Notwithstanding the foregoing, the first Exercise Date following the Restatement Effective Date will be February 28, 2018.</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date and unless the Administrator determines otherwise, the value of Common Stock determined as follows:</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    If the Common Stock is listed on any established stock exchange or a national market system, including without limitation the New York Stock Exchange, NASDAQ Global Select Market, the NASDAQ Global Market or the NASDAQ Capital Market of The NASDAQ Stock Market, its Fair Market Value will be the closing sales price for such stock as quoted on such exchange or system on the date of determination (or the closing bid, if no sales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w:t>
      </w:r>
    </w:p>
    <w:p>
      <w:pPr>
        <w:pStyle w:val="TextBody"/>
        <w:bidi w:val="0"/>
        <w:spacing w:lineRule="auto" w:line="288" w:before="240" w:after="283"/>
        <w:ind w:left="0" w:right="0" w:firstLine="2160"/>
        <w:jc w:val="both"/>
        <w:rPr/>
      </w:pPr>
      <w:r>
        <w:rPr>
          <w:rFonts w:ascii="Times New Roman;serif" w:hAnsi="Times New Roman;serif"/>
          <w:b w:val="false"/>
          <w:color w:val="000000"/>
          <w:sz w:val="24"/>
        </w:rPr>
        <w:t>(ii)    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the absence of an established market for the Common Stock, the Fair Market Value thereof will be determined in good faith by the Administrator.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the fiscal year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New Exercise Date</w:t>
      </w:r>
      <w:r>
        <w:rPr>
          <w:color w:val="000000"/>
        </w:rPr>
        <w:t xml:space="preserve">” </w:t>
      </w:r>
      <w:r>
        <w:rPr>
          <w:rFonts w:ascii="Times New Roman;serif" w:hAnsi="Times New Roman;serif"/>
          <w:b w:val="false"/>
          <w:color w:val="000000"/>
          <w:sz w:val="24"/>
        </w:rPr>
        <w:t>means a new Exercise Date if the Administrator shortens any Offering Period then in progress.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Offering</w:t>
      </w:r>
      <w:r>
        <w:rPr>
          <w:color w:val="000000"/>
        </w:rPr>
        <w:t xml:space="preserve">” </w:t>
      </w:r>
      <w:r>
        <w:rPr>
          <w:rFonts w:ascii="Times New Roman;serif" w:hAnsi="Times New Roman;serif"/>
          <w:b w:val="false"/>
          <w:color w:val="000000"/>
          <w:sz w:val="24"/>
        </w:rPr>
        <w:t>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Offering Periods</w:t>
      </w:r>
      <w:r>
        <w:rPr>
          <w:color w:val="000000"/>
        </w:rPr>
        <w:t xml:space="preserve">” </w:t>
      </w:r>
      <w:r>
        <w:rPr>
          <w:rFonts w:ascii="Times New Roman;serif" w:hAnsi="Times New Roman;serif"/>
          <w:b w:val="false"/>
          <w:color w:val="000000"/>
          <w:sz w:val="24"/>
        </w:rPr>
        <w:t>means the periods of approximately twenty-four (24) months during which an option granted pursuant to the Plan may be exercised, (i) commencing on the first Trading Day on or after February 28 and August 31 of each year and terminating on the first Trading Day on or after August 31 and February 28, approximately twenty-four (24) months later (subject to Section 30); for clarity, the first Offering Period following the Restatement Effective Date will commence on September 18, 2017 and end on the first Trading Date on or after August 31, 2019. The duration and timing of Offering Periods may be changed pursuant to Sections 4 and 20.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 “parent corporation,” whether now or hereafter existing, as defined in Section 424(e) of the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Employee who participates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Palo Alto Networks, Inc. 2012 Employee Stock Purchase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Purchase Period</w:t>
      </w:r>
      <w:r>
        <w:rPr>
          <w:color w:val="000000"/>
        </w:rPr>
        <w:t xml:space="preserve">” </w:t>
      </w:r>
      <w:r>
        <w:rPr>
          <w:rFonts w:ascii="Times New Roman;serif" w:hAnsi="Times New Roman;serif"/>
          <w:b w:val="false"/>
          <w:color w:val="000000"/>
          <w:sz w:val="24"/>
        </w:rPr>
        <w:t>means the period during an Offering Period which shares of Common Stock may be purchased on a Participant’s behalf in accordance with the terms of the Plan. Unless the Administrator provides otherwise, for Offering Periods commencing on or after the Restatement Effective Date, the Purchase Period shall mean the approximately six (6)-month period commencing on one Exercise Date and ending with the next Exercise Date, except that the first Purchase Period of any Offering Period shall commence on the Enrollment Date and end with the next Exercise Date.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Restatement Effective Date</w:t>
      </w:r>
      <w:r>
        <w:rPr>
          <w:color w:val="000000"/>
        </w:rPr>
        <w:t xml:space="preserve">” </w:t>
      </w:r>
      <w:r>
        <w:rPr>
          <w:rFonts w:ascii="Times New Roman;serif" w:hAnsi="Times New Roman;serif"/>
          <w:b w:val="false"/>
          <w:color w:val="000000"/>
          <w:sz w:val="24"/>
        </w:rPr>
        <w:t>means August 29,2017.</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existing, as defined in Section 424(f) of the Code.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national stock exchange upon which the Common Stock is listed is open for trading.</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U.S. Treasury Regulations</w:t>
      </w:r>
      <w:r>
        <w:rPr>
          <w:color w:val="000000"/>
        </w:rPr>
        <w:t xml:space="preserve">” </w:t>
      </w:r>
      <w:r>
        <w:rPr>
          <w:rFonts w:ascii="Times New Roman;serif" w:hAnsi="Times New Roman;serif"/>
          <w:b w:val="false"/>
          <w:color w:val="000000"/>
          <w:sz w:val="24"/>
        </w:rPr>
        <w:t>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Eligibility.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Enrollment.</w:t>
      </w:r>
      <w:r>
        <w:rPr>
          <w:color w:val="000000"/>
        </w:rPr>
        <w:t> </w:t>
      </w:r>
      <w:r>
        <w:rPr>
          <w:rFonts w:ascii="Times New Roman;serif" w:hAnsi="Times New Roman;serif"/>
          <w:b w:val="false"/>
          <w:color w:val="000000"/>
          <w:sz w:val="24"/>
        </w:rPr>
        <w:t>Any Eligible Employee on a given Enrollment Date subsequent to the first Offering Period will be eligible to participate in the Plan, subject to the requirements of Section 5.</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Non-U.S. Employees.</w:t>
      </w:r>
      <w:r>
        <w:rPr>
          <w:color w:val="000000"/>
        </w:rPr>
        <w:t> </w:t>
      </w:r>
      <w:r>
        <w:rPr>
          <w:rFonts w:ascii="Times New Roman;serif" w:hAnsi="Times New Roman;serif"/>
          <w:b w:val="false"/>
          <w:color w:val="000000"/>
          <w:sz w:val="24"/>
        </w:rPr>
        <w:t>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has determined that participation of such Eligible Employees is not advisable or practicable.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Limitations.</w:t>
      </w:r>
      <w:r>
        <w:rPr>
          <w:color w:val="000000"/>
        </w:rPr>
        <w:t> </w:t>
      </w:r>
      <w:r>
        <w:rPr>
          <w:rFonts w:ascii="Times New Roman;serif" w:hAnsi="Times New Roman;serif"/>
          <w:b w:val="false"/>
          <w:color w:val="000000"/>
          <w:sz w:val="24"/>
        </w:rPr>
        <w:t>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 The Plan will be implemented by overlapping Offering Periods with a new Offering Period commencing on the first Trading Day on or after February 28 and August 31 of each year, or on such other date as the Administrator will determine. Notwithstanding the foregoing, the first Offering Period following the Restatement Effective Date will commence on September 18, 2017.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Participation.</w:t>
      </w:r>
      <w:r>
        <w:rPr>
          <w:color w:val="000000"/>
        </w:rPr>
        <w:t> </w:t>
      </w:r>
      <w:r>
        <w:rPr>
          <w:rFonts w:ascii="Times New Roman;serif" w:hAnsi="Times New Roman;serif"/>
          <w:b w:val="false"/>
          <w:color w:val="000000"/>
          <w:sz w:val="24"/>
        </w:rPr>
        <w:t>An Eligible Employee may participate in the Plan pursuant to Section 3(a) by (i) submitting to the Company’s stock administration office (or its designee),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Contributions.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including any pay day that occurs on an Exercise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the event Contributions are made in the form of payroll deductions, such payroll deductions for a Participant will commence on the first pay day following the Enrollment Date and will end on the last pay day on or prior to the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Contributions made for a Participant will be credited to his or her account under the Plan and Contributions will be made in whole percentages only. A Participant may not make any additional payments into such account.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Participant may discontinue his or her participation in the Plan as provided in Section 10. Unless otherwise determined by the Administrator, during an Offering Period, a Participant may not increase the rate of his or her Contributions and may only decrease the rate of his or her Contributions one (1) time per Purchase Period. Any such decrease during an Offering Period requires the Participant (i) properly completing and submitting to the Company’s stock administration office (or its designee), on or before a date determined by the Administrator prior to an applicable Exercise Date, a new subscription agreement authorizing the change in Contribution rate in the form provided by the Administrator for such purpose, or (ii) following an electronic or other procedure prescribed by the Administrator. If a Participant has not followed such procedures to change the rate of Contributions, the rate of his or her Contributions will continue at the originally elected rate throughout the Offering Period and future Offering Periods (unless terminated as provided in Section 10). The Administrator may, in its sole discretion, amend the nature and/or number of Contribution rate changes that may be made by Participants during any Offering Period or Purchase Period, and may establish such other conditions or limitations as it deems appropriate for Plan administration.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Grant of Option.</w:t>
      </w:r>
      <w:r>
        <w:rPr>
          <w:color w:val="000000"/>
        </w:rPr>
        <w:t> </w:t>
      </w:r>
      <w:r>
        <w:rPr>
          <w:rFonts w:ascii="Times New Roman;serif" w:hAnsi="Times New Roman;serif"/>
          <w:b w:val="false"/>
          <w:color w:val="000000"/>
          <w:sz w:val="24"/>
        </w:rPr>
        <w:t>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3,750 shares of Common Stock (subject to any adjustment pursuant to Section 19)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Section 8, unless the Participant has withdrawn pursuant to Section 10. The option will expire on the last day of the Offering Period.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Exercise of Option.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promptly refunded to Participant as soon as reasonably practicable following an Exercise Date. During a Participant’s lifetime, a Participant’s option to purchase shares hereunder is exercisable only by him or her.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Delivery.</w:t>
      </w:r>
      <w:r>
        <w:rPr>
          <w:color w:val="000000"/>
        </w:rPr>
        <w:t> </w:t>
      </w:r>
      <w:r>
        <w:rPr>
          <w:rFonts w:ascii="Times New Roman;serif" w:hAnsi="Times New Roman;serif"/>
          <w:b w:val="false"/>
          <w:color w:val="000000"/>
          <w:sz w:val="24"/>
        </w:rPr>
        <w:t>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Withdrawal.</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 Participant may withdraw all but not less than all the Contributions credited to his or her account and not yet used to exercise his or her option under the Plan at least one (1) business day prior to an Exercise Date by (i) submitting to the Company’s stock administration office (or its designee) a written notice of withdrawal in the form determined by the Administrator for such purpose,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Termination of Employment.</w:t>
      </w:r>
      <w:r>
        <w:rPr>
          <w:color w:val="000000"/>
        </w:rPr>
        <w:t> </w:t>
      </w:r>
      <w:r>
        <w:rPr>
          <w:rFonts w:ascii="Times New Roman;serif" w:hAnsi="Times New Roman;serif"/>
          <w:b w:val="false"/>
          <w:color w:val="000000"/>
          <w:sz w:val="24"/>
        </w:rPr>
        <w:t>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Interest.</w:t>
      </w:r>
      <w:r>
        <w:rPr>
          <w:color w:val="000000"/>
        </w:rPr>
        <w:t> </w:t>
      </w:r>
      <w:r>
        <w:rPr>
          <w:rFonts w:ascii="Times New Roman;serif" w:hAnsi="Times New Roman;serif"/>
          <w:b w:val="false"/>
          <w:color w:val="000000"/>
          <w:sz w:val="24"/>
        </w:rPr>
        <w:t>No interest will accrue on the Contributions of a participant in the Plan, except as may be required by Applicable Law, as determined by the Company, and if so required by the laws of a particular jurisdiction, shall apply to all Participants in the relevant Offering under the 423 Component, except to the extent otherwise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Stock.</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adjustment upon changes in capitalization of the Company as provided in Section 19 hereof, the maximum number of shares of Common Stock that will be made available for sale under the Plan will be 6,000,000 shares of Common Stock, plus an annual increase to be added on the first day of each Fiscal Year beginning with the 2014 Fiscal Year equal to the least of (i) 12,000,000 shares of Common Stock, (ii)  one percent (1%) of the outstanding shares of Common Stock on such date, or (iii) an amount determined by the Administrator.</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Shares of Common Stock to be delivered to a Participant under the Plan will be registered in the name of the Participant or in the name of the Participant and his or her spouse.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Administration.</w:t>
      </w:r>
      <w:r>
        <w:rPr>
          <w:color w:val="000000"/>
        </w:rPr>
        <w:t> </w:t>
      </w:r>
      <w:r>
        <w:rPr>
          <w:rFonts w:ascii="Times New Roman;serif" w:hAnsi="Times New Roman;serif"/>
          <w:b w:val="false"/>
          <w:color w:val="000000"/>
          <w:sz w:val="24"/>
        </w:rPr>
        <w:t>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Designation of Beneficiary.</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Such designation of beneficiary may be changed by the Participant at any time by notice in a form determined by the Administrator, which may be electronic.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Transferability.</w:t>
      </w:r>
      <w:r>
        <w:rPr>
          <w:color w:val="000000"/>
        </w:rPr>
        <w:t> </w:t>
      </w:r>
      <w:r>
        <w:rPr>
          <w:rFonts w:ascii="Times New Roman;serif" w:hAnsi="Times New Roman;serif"/>
          <w:b w:val="false"/>
          <w:color w:val="000000"/>
          <w:sz w:val="24"/>
        </w:rPr>
        <w:t>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Use of Funds.</w:t>
      </w:r>
      <w:r>
        <w:rPr>
          <w:color w:val="000000"/>
        </w:rPr>
        <w:t> </w:t>
      </w:r>
      <w:r>
        <w:rPr>
          <w:rFonts w:ascii="Times New Roman;serif" w:hAnsi="Times New Roman;serif"/>
          <w:b w:val="false"/>
          <w:color w:val="000000"/>
          <w:sz w:val="24"/>
        </w:rPr>
        <w:t>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only have the rights of an unsecured creditor with respect to such shares.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Reports.</w:t>
      </w:r>
      <w:r>
        <w:rPr>
          <w:color w:val="000000"/>
        </w:rPr>
        <w:t> </w:t>
      </w:r>
      <w:r>
        <w:rPr>
          <w:rFonts w:ascii="Times New Roman;serif" w:hAnsi="Times New Roman;serif"/>
          <w:b w:val="false"/>
          <w:color w:val="000000"/>
          <w:sz w:val="24"/>
        </w:rPr>
        <w:t>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Adjustments, Dissolution, Liquidation, Merger or Change in Control.</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Adjustments.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Merger or Change in Control</w:t>
      </w:r>
      <w:r>
        <w:rPr>
          <w:rFonts w:ascii="Times New Roman;serif" w:hAnsi="Times New Roman;serif"/>
          <w:b w:val="false"/>
          <w:color w:val="000000"/>
          <w:sz w:val="24"/>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Amendment or Termination</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altering the Purchase Price for any Offering Period or Purchase Period including an Offering Period or Purchase Period underway at the time of the change in Purchase Price;</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shortening any Offering Period or Purchase Period by setting a New Exercise Date, including an Offering Period or Purchase Period underway at the time of the Administrator action;</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reducing the maximum percentage of Compensation a Participant may elect to set aside as Contributions; and</w:t>
      </w:r>
    </w:p>
    <w:p>
      <w:pPr>
        <w:pStyle w:val="TextBody"/>
        <w:bidi w:val="0"/>
        <w:spacing w:lineRule="auto" w:line="288" w:before="240" w:after="28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reducing the maximum number of Shares a Participant may purchase during any Offering Period or Purchase Period.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modifications or amendments will not require stockholder approval or the consent of any Plan Participants.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Term of Plan</w:t>
      </w:r>
      <w:r>
        <w:rPr>
          <w:rFonts w:ascii="Times New Roman;serif" w:hAnsi="Times New Roman;serif"/>
          <w:b w:val="false"/>
          <w:color w:val="000000"/>
          <w:sz w:val="24"/>
        </w:rPr>
        <w:t>. The Plan will become effective upon the earlier to occur of its adoption by the Board or its approval by the stockholders of the Company. It will continue in effect for a term of twenty (20) years, unless sooner terminated under Section 20.</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Stockholder Approval</w:t>
      </w:r>
      <w:r>
        <w:rPr>
          <w:rFonts w:ascii="Times New Roman;serif" w:hAnsi="Times New Roman;serif"/>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shall be governed by, and construed in accordance with, the laws of the State of California (except its choice-of-law provisions).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Compliance with Applicable Laws</w:t>
      </w:r>
      <w:r>
        <w:rPr>
          <w:rFonts w:ascii="Times New Roman;serif" w:hAnsi="Times New Roman;serif"/>
          <w:b w:val="false"/>
          <w:color w:val="000000"/>
          <w:sz w:val="24"/>
        </w:rPr>
        <w:t>. The terms of this Plan are intended to comply with all Applicable Laws and will be construed accordingly.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Automatic Transfer to Low Price Offering Period</w:t>
      </w:r>
      <w:r>
        <w:rPr>
          <w:rFonts w:ascii="Times New Roman;serif" w:hAnsi="Times New Roman;serif"/>
          <w:b w:val="false"/>
          <w:color w:val="000000"/>
          <w:sz w:val="24"/>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APPENDIX – ISRAELI TAXPAYERS</w:t>
      </w:r>
    </w:p>
    <w:p>
      <w:pPr>
        <w:pStyle w:val="TextBody"/>
        <w:bidi w:val="0"/>
        <w:spacing w:lineRule="auto" w:line="288" w:before="240" w:after="283"/>
        <w:ind w:left="0" w:right="0" w:firstLine="720"/>
        <w:jc w:val="center"/>
        <w:rPr>
          <w:rFonts w:ascii="Times New Roman;serif" w:hAnsi="Times New Roman;serif"/>
          <w:b/>
          <w:color w:val="000000"/>
          <w:sz w:val="24"/>
          <w:u w:val="single"/>
        </w:rPr>
      </w:pPr>
      <w:r>
        <w:rPr>
          <w:rFonts w:ascii="Times New Roman;serif" w:hAnsi="Times New Roman;serif"/>
          <w:b/>
          <w:color w:val="000000"/>
          <w:sz w:val="24"/>
          <w:u w:val="single"/>
        </w:rPr>
        <w:t>2012 EMPLOYEE STOCK PURCHASE PLAN</w:t>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ADOPTED</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ON MAY 30, 2014</w:t>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left"/>
        <w:rPr/>
      </w:pPr>
      <w:r>
        <w:rPr/>
      </w:r>
    </w:p>
    <w:p>
      <w:pPr>
        <w:pStyle w:val="TextBody"/>
        <w:bidi w:val="0"/>
        <w:spacing w:before="240" w:after="283"/>
        <w:ind w:left="0" w:right="0" w:firstLine="720"/>
        <w:jc w:val="center"/>
        <w:rPr/>
      </w:pPr>
      <w:r>
        <w:rPr/>
      </w:r>
    </w:p>
    <w:p>
      <w:pPr>
        <w:pStyle w:val="TextBody"/>
        <w:bidi w:val="0"/>
        <w:spacing w:before="24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APPENDIX – ISRAELI TAXPAYERS</w:t>
      </w:r>
    </w:p>
    <w:p>
      <w:pPr>
        <w:pStyle w:val="TextBody"/>
        <w:bidi w:val="0"/>
        <w:spacing w:lineRule="auto" w:line="288" w:before="240" w:after="283"/>
        <w:ind w:left="0" w:right="0" w:firstLine="72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ind w:left="0" w:right="0" w:firstLine="720"/>
        <w:jc w:val="both"/>
        <w:rPr/>
      </w:pPr>
      <w:r>
        <w:rPr>
          <w:rFonts w:ascii="Times New Roman;serif" w:hAnsi="Times New Roman;serif"/>
          <w:b/>
          <w:color w:val="000000"/>
          <w:sz w:val="24"/>
        </w:rPr>
        <w:t>1.</w:t>
      </w:r>
      <w:r>
        <w:rPr>
          <w:color w:val="000000"/>
        </w:rPr>
        <w:t>    </w:t>
      </w:r>
      <w:r>
        <w:rPr>
          <w:rFonts w:ascii="Times New Roman;serif" w:hAnsi="Times New Roman;serif"/>
          <w:b/>
          <w:color w:val="000000"/>
          <w:sz w:val="24"/>
          <w:u w:val="single"/>
        </w:rPr>
        <w:t>Special Provisions for Persons who are Israeli Taxpayers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1.1    This Appendix (the “</w:t>
      </w:r>
      <w:r>
        <w:rPr>
          <w:rFonts w:ascii="Times New Roman;serif" w:hAnsi="Times New Roman;serif"/>
          <w:b/>
          <w:color w:val="000000"/>
          <w:sz w:val="24"/>
        </w:rPr>
        <w:t>Appendix</w:t>
      </w:r>
      <w:r>
        <w:rPr>
          <w:color w:val="000000"/>
        </w:rPr>
        <w:t>”</w:t>
      </w:r>
      <w:r>
        <w:rPr>
          <w:rFonts w:ascii="Times New Roman;serif" w:hAnsi="Times New Roman;serif"/>
          <w:b w:val="false"/>
          <w:color w:val="000000"/>
          <w:sz w:val="24"/>
        </w:rPr>
        <w:t>) to the Palo Alto Networks, Inc. 2012 Employee Stock Purchase Plan (the “</w:t>
      </w:r>
      <w:r>
        <w:rPr>
          <w:rFonts w:ascii="Times New Roman;serif" w:hAnsi="Times New Roman;serif"/>
          <w:b/>
          <w:color w:val="000000"/>
          <w:sz w:val="24"/>
        </w:rPr>
        <w:t>ESPP Plan</w:t>
      </w:r>
      <w:r>
        <w:rPr>
          <w:color w:val="000000"/>
        </w:rPr>
        <w:t>”</w:t>
      </w:r>
      <w:r>
        <w:rPr>
          <w:rFonts w:ascii="Times New Roman;serif" w:hAnsi="Times New Roman;serif"/>
          <w:b w:val="false"/>
          <w:color w:val="000000"/>
          <w:sz w:val="24"/>
        </w:rPr>
        <w:t>), is effective as of May 30, 2014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1.2    The provisions specified hereunder apply only to Eligible Employees who are subject to taxation by the State of Israel with respect to grant of rights to purchase Plan Shares under the ESPP Plan (respectively, the “</w:t>
      </w:r>
      <w:r>
        <w:rPr>
          <w:rFonts w:ascii="Times New Roman;serif" w:hAnsi="Times New Roman;serif"/>
          <w:b/>
          <w:color w:val="000000"/>
          <w:sz w:val="24"/>
        </w:rPr>
        <w:t>Israeli Eligible Employee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Purchase Rights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1.3    This Appendix applies with respect to Purchase Rights granted under the ESPP Plan. The purpose of this Appendix is to establish certain rules and limitations applicable to Purchase Rights that may be granted under the ESPP Plan from time to time, in compliance with the securities and other applicable laws currently in force in the State of Israel. For Israeli tax purposes, such Purchase Rights are classified as options issued under the ESPP Plan. Except as otherwise provided by this Appendix, all grants made pursuant to this Appendix shall be governed by the terms of the ESPP Plan. This Appendix is applicable only to grants made after the Effective Date. This Appendix complies with, and is subject to the ITO, the ITO Rules and Section 102 (as such terms are defined below).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1.4    The ESPP Plan and this Appendix shall be read together. In any case of contradiction, whether explicit or implied, between the provisions of this Appendix and the ESPP Plan, the provisions of the ESPP Plan shall govern.</w:t>
      </w:r>
    </w:p>
    <w:p>
      <w:pPr>
        <w:pStyle w:val="TextBody"/>
        <w:bidi w:val="0"/>
        <w:spacing w:lineRule="auto" w:line="288" w:before="240" w:after="283"/>
        <w:ind w:left="0" w:right="0" w:firstLine="720"/>
        <w:jc w:val="both"/>
        <w:rPr/>
      </w:pPr>
      <w:r>
        <w:rPr>
          <w:rFonts w:ascii="Times New Roman;serif" w:hAnsi="Times New Roman;serif"/>
          <w:b/>
          <w:color w:val="000000"/>
          <w:sz w:val="24"/>
        </w:rPr>
        <w:t>2.</w:t>
      </w:r>
      <w:r>
        <w:rPr>
          <w:color w:val="000000"/>
        </w:rPr>
        <w:t>    </w:t>
      </w:r>
      <w:r>
        <w:rPr>
          <w:rFonts w:ascii="Times New Roman;serif" w:hAnsi="Times New Roman;serif"/>
          <w:b/>
          <w:color w:val="000000"/>
          <w:sz w:val="24"/>
          <w:u w:val="single"/>
        </w:rPr>
        <w:t>Definitions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not otherwise defined herein shall have the meaning assigned to them in the ESPP Plan. The following additional definitions will apply to grants made pursuant to this Appendix:</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Affiliate”</w:t>
      </w:r>
      <w:r>
        <w:rPr>
          <w:color w:val="000000"/>
        </w:rPr>
        <w:t> </w:t>
      </w:r>
      <w:r>
        <w:rPr>
          <w:rFonts w:ascii="Times New Roman;serif" w:hAnsi="Times New Roman;serif"/>
          <w:b w:val="false"/>
          <w:color w:val="000000"/>
          <w:sz w:val="24"/>
        </w:rPr>
        <w:t>as used in this Appendix, shall mean any Parent or Subsidiary that is an “employing company” within the meaning of Section 102(a) of the ITO.</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Controlling Shareholder”</w:t>
      </w:r>
      <w:r>
        <w:rPr>
          <w:color w:val="000000"/>
        </w:rPr>
        <w:t> </w:t>
      </w:r>
      <w:r>
        <w:rPr>
          <w:rFonts w:ascii="Times New Roman;serif" w:hAnsi="Times New Roman;serif"/>
          <w:b w:val="false"/>
          <w:color w:val="000000"/>
          <w:sz w:val="24"/>
        </w:rPr>
        <w:t>as defined under Section 32(9) of the ITO, means an individual who prior to the grant or as a result of the exercise of any options under the ESPP Plan, holds or would hold, directly or indirectly, in his name or with a relative (as defined in the ITO) (i) 10% of the outstanding shares of the Company, (ii) 10% of the voting power of the Company, (iii) the right to hold or purchase 10% of the outstanding equity or voting power of the Company, (iv) the right to obtain 10% of the “profit” of the Company (as defined in the ITO), or (v) the right to appoint a Director.</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Eligible 102 Israeli Eligible Employee”</w:t>
      </w:r>
      <w:r>
        <w:rPr>
          <w:color w:val="000000"/>
        </w:rPr>
        <w:t> </w:t>
      </w:r>
      <w:r>
        <w:rPr>
          <w:rFonts w:ascii="Times New Roman;serif" w:hAnsi="Times New Roman;serif"/>
          <w:b w:val="false"/>
          <w:color w:val="000000"/>
          <w:sz w:val="24"/>
        </w:rPr>
        <w:t>an Israeli Eligible Employee who is an employee or is serving as a director of the Company or an Affiliate, who is not a Controlling Shareholder.</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ITA”</w:t>
      </w:r>
      <w:r>
        <w:rPr>
          <w:color w:val="000000"/>
        </w:rPr>
        <w:t> </w:t>
      </w:r>
      <w:r>
        <w:rPr>
          <w:rFonts w:ascii="Times New Roman;serif" w:hAnsi="Times New Roman;serif"/>
          <w:b w:val="false"/>
          <w:color w:val="000000"/>
          <w:sz w:val="24"/>
        </w:rPr>
        <w:t>means the Israeli Tax Authority.</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ITO”</w:t>
      </w:r>
      <w:r>
        <w:rPr>
          <w:color w:val="000000"/>
        </w:rPr>
        <w:t> </w:t>
      </w:r>
      <w:r>
        <w:rPr>
          <w:rFonts w:ascii="Times New Roman;serif" w:hAnsi="Times New Roman;serif"/>
          <w:b w:val="false"/>
          <w:color w:val="000000"/>
          <w:sz w:val="24"/>
        </w:rPr>
        <w:t>means the Israeli Income Tax Ordinance (New Version) 1961 and the rules, regulations, orders or procedures promulgated thereunder and any amendments thereto, including specifically the ITO Rules, all as may be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ITO Rules”</w:t>
      </w:r>
      <w:r>
        <w:rPr>
          <w:color w:val="000000"/>
        </w:rPr>
        <w:t> </w:t>
      </w:r>
      <w:r>
        <w:rPr>
          <w:rFonts w:ascii="Times New Roman;serif" w:hAnsi="Times New Roman;serif"/>
          <w:b w:val="false"/>
          <w:color w:val="000000"/>
          <w:sz w:val="24"/>
        </w:rPr>
        <w:t>means the Income Tax Rules (Tax Benefits in Share Issuance to Employees) 5763-2003.</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Non-Trustee Grant”</w:t>
      </w:r>
      <w:r>
        <w:rPr>
          <w:color w:val="000000"/>
        </w:rPr>
        <w:t> </w:t>
      </w:r>
      <w:r>
        <w:rPr>
          <w:rFonts w:ascii="Times New Roman;serif" w:hAnsi="Times New Roman;serif"/>
          <w:b w:val="false"/>
          <w:color w:val="000000"/>
          <w:sz w:val="24"/>
        </w:rPr>
        <w:t>means a Purchase Right granted to an Israeli Eligible Employee pursuant to Section 102(c) of the ITO and not held in trust by a Trustee.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Section 102”</w:t>
      </w:r>
      <w:r>
        <w:rPr>
          <w:color w:val="000000"/>
        </w:rPr>
        <w:t> </w:t>
      </w:r>
      <w:r>
        <w:rPr>
          <w:rFonts w:ascii="Times New Roman;serif" w:hAnsi="Times New Roman;serif"/>
          <w:b w:val="false"/>
          <w:color w:val="000000"/>
          <w:sz w:val="24"/>
        </w:rPr>
        <w:t>means the provisions of Section 102 of the ITO, as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Section 3(i)”</w:t>
      </w:r>
      <w:r>
        <w:rPr>
          <w:color w:val="000000"/>
        </w:rPr>
        <w:t> </w:t>
      </w:r>
      <w:r>
        <w:rPr>
          <w:rFonts w:ascii="Times New Roman;serif" w:hAnsi="Times New Roman;serif"/>
          <w:b w:val="false"/>
          <w:color w:val="000000"/>
          <w:sz w:val="24"/>
        </w:rPr>
        <w:t>means Section 3(i) of the ITO, as amended from time to time.</w:t>
      </w:r>
    </w:p>
    <w:p>
      <w:pPr>
        <w:pStyle w:val="TextBody"/>
        <w:bidi w:val="0"/>
        <w:spacing w:lineRule="auto" w:line="288" w:before="240" w:after="283"/>
        <w:ind w:left="0" w:right="0" w:firstLine="720"/>
        <w:jc w:val="both"/>
        <w:rPr/>
      </w:pPr>
      <w:r>
        <w:rPr>
          <w:color w:val="000000"/>
        </w:rPr>
        <w:t>“</w:t>
      </w:r>
      <w:r>
        <w:rPr>
          <w:rFonts w:ascii="Times New Roman;serif" w:hAnsi="Times New Roman;serif"/>
          <w:b/>
          <w:i/>
          <w:color w:val="000000"/>
          <w:sz w:val="24"/>
        </w:rPr>
        <w:t>Shares”</w:t>
      </w:r>
      <w:r>
        <w:rPr>
          <w:color w:val="000000"/>
        </w:rPr>
        <w:t> </w:t>
      </w:r>
      <w:r>
        <w:rPr>
          <w:rFonts w:ascii="Times New Roman;serif" w:hAnsi="Times New Roman;serif"/>
          <w:b w:val="false"/>
          <w:color w:val="000000"/>
          <w:sz w:val="24"/>
        </w:rPr>
        <w:t>means Plan Shares issued upon the exercise of Purchase Rights under the ESPP Plan.</w:t>
      </w:r>
    </w:p>
    <w:p>
      <w:pPr>
        <w:pStyle w:val="TextBody"/>
        <w:bidi w:val="0"/>
        <w:spacing w:lineRule="auto" w:line="288" w:before="240" w:after="283"/>
        <w:ind w:left="0" w:right="0" w:firstLine="720"/>
        <w:jc w:val="both"/>
        <w:rPr/>
      </w:pPr>
      <w:r>
        <w:rPr>
          <w:rFonts w:ascii="Times New Roman;serif" w:hAnsi="Times New Roman;serif"/>
          <w:b/>
          <w:color w:val="000000"/>
          <w:sz w:val="24"/>
        </w:rPr>
        <w:t>3.</w:t>
      </w:r>
      <w:r>
        <w:rPr>
          <w:color w:val="000000"/>
        </w:rPr>
        <w:t>    </w:t>
      </w:r>
      <w:r>
        <w:rPr>
          <w:rFonts w:ascii="Times New Roman;serif" w:hAnsi="Times New Roman;serif"/>
          <w:b/>
          <w:color w:val="000000"/>
          <w:sz w:val="24"/>
          <w:u w:val="single"/>
        </w:rPr>
        <w:t>Non-Trustee Grant of Purchase Right</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3.1    A grant of Purchase Rights to an Israeli Eligible Employee shall be made pursuant to Section 102(c) or Section 3(i) of the ITO.</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3.2    Only Eligible 102 Israeli Eligible Employee may receive Non-Trustee Grants under this Appendix.</w:t>
      </w:r>
    </w:p>
    <w:p>
      <w:pPr>
        <w:pStyle w:val="TextBody"/>
        <w:bidi w:val="0"/>
        <w:spacing w:lineRule="auto" w:line="288" w:before="240" w:after="283"/>
        <w:ind w:left="0" w:right="0" w:firstLine="720"/>
        <w:jc w:val="both"/>
        <w:rPr/>
      </w:pPr>
      <w:r>
        <w:rPr>
          <w:rFonts w:ascii="Times New Roman;serif" w:hAnsi="Times New Roman;serif"/>
          <w:b/>
          <w:color w:val="000000"/>
          <w:sz w:val="24"/>
        </w:rPr>
        <w:t>4.</w:t>
      </w:r>
      <w:r>
        <w:rPr>
          <w:color w:val="000000"/>
        </w:rPr>
        <w:t>    </w:t>
      </w:r>
      <w:r>
        <w:rPr>
          <w:rFonts w:ascii="Times New Roman;serif" w:hAnsi="Times New Roman;serif"/>
          <w:b/>
          <w:color w:val="000000"/>
          <w:sz w:val="24"/>
          <w:u w:val="single"/>
        </w:rPr>
        <w:t>Terms And Conditions Of Non-Trustee Grants</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4.1    Each grant under the ESPP Plan shall be subject to the relevant provisions of the ITO, the ITO Rules, Section 102 and any ruling obtained from the ITA in connection with the ESPP Plan, which shall be deemed an integral part of the such grant and shall prevail over any term contained in the ESPP Plan, this Appendix or any offering document that is not consistent therewith. Any provision of the ITO and any approvals by the ITA not expressly specified in this Appendix or any document evidencing a grant that are necessary to receive under the ITO, the ITO Rules and Section 102 in connection with grant under the ESPP Plan shall be binding on the Israeli Eligible Employee. The Israeli Eligible Employee granted a Purchase Offering under the ESPP Plan shall comply with the ITO provisions. For avoidance of doubt, it is reiterated that compliance with the ITO specifically includes compliance with the ITO Rules. Further, the Israeli Eligible Employee agrees to execute any and all documents which the Company and/or Affiliate may reasonably determine to be necessary in order to comply with the provision of any applicable law.</w:t>
      </w:r>
    </w:p>
    <w:p>
      <w:pPr>
        <w:pStyle w:val="TextBody"/>
        <w:bidi w:val="0"/>
        <w:spacing w:lineRule="auto" w:line="288" w:before="240" w:after="28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4.2    Shares issued upon an exercise of a Purchase Right shall be transferred to the Israeli Eligible Employee directly, provided that the Israeli Eligible Employee first complies with all applicable provisions of the ESPP Plan, and all taxes which apply to the grant of the Purchase Right and exercise of the Purchase Rights were paid.</w:t>
      </w:r>
    </w:p>
    <w:p>
      <w:pPr>
        <w:pStyle w:val="TextBody"/>
        <w:bidi w:val="0"/>
        <w:spacing w:lineRule="auto" w:line="288" w:before="240" w:after="283"/>
        <w:ind w:left="0" w:right="0" w:firstLine="720"/>
        <w:jc w:val="both"/>
        <w:rPr/>
      </w:pPr>
      <w:r>
        <w:rPr>
          <w:rFonts w:ascii="Times New Roman;serif" w:hAnsi="Times New Roman;serif"/>
          <w:b/>
          <w:color w:val="000000"/>
          <w:sz w:val="24"/>
        </w:rPr>
        <w:t>5.</w:t>
      </w:r>
      <w:r>
        <w:rPr>
          <w:color w:val="000000"/>
        </w:rPr>
        <w:t>    </w:t>
      </w:r>
      <w:r>
        <w:rPr>
          <w:rFonts w:ascii="Times New Roman;serif" w:hAnsi="Times New Roman;serif"/>
          <w:b/>
          <w:color w:val="000000"/>
          <w:sz w:val="24"/>
          <w:u w:val="single"/>
        </w:rPr>
        <w:t>Tax Consequences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tax consequences arising from the grant of the Purchase Right or from exercise of the Purchase Right or from the sale of Shares issued upon an exercise of the Purchase Right, or from any other event or act (of the Company, and/or its Affiliates, or the Israeli Eligible Employee) hereunder, shall be borne solely by the Israeli Eligible Employee. The Company and/or its Affiliates shall withhold taxes according to the requirements under the applicable laws, rules, and regulations, including withholding taxes at source. Furthermore, the Israeli Eligible Employee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Israeli Eligible Employee. The Company or any of its Affiliates may make such provisions and take such steps as it may deem necessary or appropriate for the withholding of all taxes required by law to be withheld with respect to Purchase Rights granted under the ESPP Plan and the sale of Shares issued upon an exercise of such Purchase Right, including, but not limited, to (i) deducting the amount so required to be withheld from any other amount then or thereafter payable to an Israeli Eligible Employee, and/or (ii) requiring an Israeli Eligible Employee to pay to the Company or any of its Affiliates the amount so required to be withheld as a condition of the issuance, delivery, distribution or release of any Share, and/or (iii) by causing the exercise of Purchase Right and/or the sale of Shares held by an Israeli Eligible Employee to cover such liability, up to the amount required to satisfy minimum statutory withholding requirements. In addition, the Israeli Eligible Employee will be required to pay any amount which exceeds the tax to be withheld and remitted to the tax authorities, pursuant to applicable tax laws, regulations and rules.</w:t>
      </w:r>
    </w:p>
    <w:p>
      <w:pPr>
        <w:pStyle w:val="TextBody"/>
        <w:bidi w:val="0"/>
        <w:spacing w:lineRule="auto" w:line="288" w:before="240" w:after="283"/>
        <w:ind w:left="0" w:right="0" w:firstLine="720"/>
        <w:jc w:val="both"/>
        <w:rPr/>
      </w:pPr>
      <w:r>
        <w:rPr>
          <w:rFonts w:ascii="Times New Roman;serif" w:hAnsi="Times New Roman;serif"/>
          <w:b/>
          <w:color w:val="000000"/>
          <w:sz w:val="24"/>
        </w:rPr>
        <w:t>6.</w:t>
      </w:r>
      <w:r>
        <w:rPr>
          <w:color w:val="000000"/>
        </w:rPr>
        <w:t>    </w:t>
      </w:r>
      <w:r>
        <w:rPr>
          <w:rFonts w:ascii="Times New Roman;serif" w:hAnsi="Times New Roman;serif"/>
          <w:b/>
          <w:color w:val="000000"/>
          <w:sz w:val="24"/>
          <w:u w:val="single"/>
        </w:rPr>
        <w:t>Guarantee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Eligible 102 Israeli Eligible Employee that holds Shares issued upon the exercise of Purchase Rights ceases to be employed by the Company or any Affiliate, such Israeli Eligible Employee shall extend to the Company and/or its Affiliate a security or guarantee for the payment of tax due at the time of sale of Shares to the satisfaction of the Company, all in accordance with the provisions of Section 102 of the ITO and the ITO Rules.</w:t>
      </w:r>
    </w:p>
    <w:p>
      <w:pPr>
        <w:pStyle w:val="TextBody"/>
        <w:bidi w:val="0"/>
        <w:spacing w:lineRule="auto" w:line="288" w:before="240" w:after="283"/>
        <w:ind w:left="0" w:right="0" w:firstLine="720"/>
        <w:jc w:val="both"/>
        <w:rPr/>
      </w:pPr>
      <w:r>
        <w:rPr>
          <w:rFonts w:ascii="Times New Roman;serif" w:hAnsi="Times New Roman;serif"/>
          <w:b/>
          <w:color w:val="000000"/>
          <w:sz w:val="24"/>
        </w:rPr>
        <w:t>7.</w:t>
      </w:r>
      <w:r>
        <w:rPr>
          <w:color w:val="000000"/>
        </w:rPr>
        <w:t>    </w:t>
      </w:r>
      <w:r>
        <w:rPr>
          <w:rFonts w:ascii="Times New Roman;serif" w:hAnsi="Times New Roman;serif"/>
          <w:b/>
          <w:color w:val="000000"/>
          <w:sz w:val="24"/>
          <w:u w:val="single"/>
        </w:rPr>
        <w:t>Governing Law and Jurisdiction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the ESPP Plan, with respect to Israeli Eligible Employees subject to this Appendix, (i) the ESPP Plan the Purchase Rights and Shares issued thereunder or in connection therewith shall be governed by, and interpreted in accordance with, the laws of the State of Israel applicable to contracts made and to be performed therein, and (ii) any contribution by Israeli Eligible Employees under the ESPP Plan by means of salary deduction shall be subject to the restrictions and limitations provided under applicable Israeli labor laws.</w:t>
      </w:r>
    </w:p>
    <w:p>
      <w:pPr>
        <w:pStyle w:val="TextBody"/>
        <w:bidi w:val="0"/>
        <w:spacing w:lineRule="auto" w:line="288" w:before="240" w:after="283"/>
        <w:ind w:left="0" w:right="0" w:firstLine="720"/>
        <w:jc w:val="both"/>
        <w:rPr/>
      </w:pPr>
      <w:r>
        <w:rPr>
          <w:rFonts w:ascii="Times New Roman;serif" w:hAnsi="Times New Roman;serif"/>
          <w:b/>
          <w:color w:val="000000"/>
          <w:sz w:val="24"/>
        </w:rPr>
        <w:t>8.</w:t>
      </w:r>
      <w:r>
        <w:rPr>
          <w:color w:val="000000"/>
        </w:rPr>
        <w:t>    </w:t>
      </w:r>
      <w:r>
        <w:rPr>
          <w:rFonts w:ascii="Times New Roman;serif" w:hAnsi="Times New Roman;serif"/>
          <w:b/>
          <w:color w:val="000000"/>
          <w:sz w:val="24"/>
          <w:u w:val="single"/>
        </w:rPr>
        <w:t>Securities Laws</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derogation from any provisions of the ESPP Plan, all Purchase Rights and Shares issued hereunder shall be subject to compliance with the Israeli Securities Law, 1968, and the rules and regulations promulgated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GLOBAL SUBSCRIPTION AGREEMENT</w:t>
      </w:r>
    </w:p>
    <w:p>
      <w:pPr>
        <w:pStyle w:val="TextBody"/>
        <w:bidi w:val="0"/>
        <w:spacing w:lineRule="auto" w:line="288" w:before="240" w:after="240"/>
        <w:jc w:val="both"/>
        <w:rPr/>
      </w:pPr>
      <w:r>
        <w:rPr>
          <w:rFonts w:ascii="Times New Roman;serif" w:hAnsi="Times New Roman;serif"/>
          <w:b w:val="false"/>
          <w:color w:val="000000"/>
          <w:sz w:val="24"/>
        </w:rPr>
        <w:t>1.</w:t>
      </w:r>
      <w:r>
        <w:rPr>
          <w:rFonts w:ascii="Times New Roman;serif" w:hAnsi="Times New Roman;serif"/>
          <w:b/>
          <w:color w:val="000000"/>
          <w:sz w:val="24"/>
        </w:rPr>
        <w:t xml:space="preserve">Enrollment. </w:t>
      </w:r>
      <w:r>
        <w:rPr>
          <w:rFonts w:ascii="Times New Roman;serif" w:hAnsi="Times New Roman;serif"/>
          <w:b w:val="false"/>
          <w:color w:val="000000"/>
          <w:sz w:val="24"/>
        </w:rPr>
        <w:t>By electronically accepting this Global Subscription Agreement and the Appendix to the Global Subscription Agreement (“Appendix”) (together, the “Agreement”), I</w:t>
      </w:r>
      <w:r>
        <w:rPr>
          <w:color w:val="000000"/>
        </w:rPr>
        <w:t xml:space="preserve"> </w:t>
      </w:r>
      <w:r>
        <w:rPr>
          <w:rFonts w:ascii="Times New Roman;serif" w:hAnsi="Times New Roman;serif"/>
          <w:b w:val="false"/>
          <w:color w:val="000000"/>
          <w:sz w:val="24"/>
        </w:rPr>
        <w:t>hereby elect to participate in the Palo Alto Networks, Inc. 2012 Employee Stock Purchase Plan (the “ESPP”) and subscribe to purchase shares of Common Stock in accordance with this Agreement and the ESPP. Any defined terms in this Agreement shall have the meaning ascribed to such terms in the ESPP.</w:t>
      </w:r>
    </w:p>
    <w:p>
      <w:pPr>
        <w:pStyle w:val="TextBody"/>
        <w:bidi w:val="0"/>
        <w:spacing w:lineRule="auto" w:line="288" w:before="240" w:after="240"/>
        <w:jc w:val="both"/>
        <w:rPr/>
      </w:pPr>
      <w:r>
        <w:rPr>
          <w:rFonts w:ascii="Times New Roman;serif" w:hAnsi="Times New Roman;serif"/>
          <w:b w:val="false"/>
          <w:color w:val="000000"/>
          <w:sz w:val="24"/>
        </w:rPr>
        <w:t>2.</w:t>
      </w:r>
      <w:r>
        <w:rPr>
          <w:rFonts w:ascii="Times New Roman;serif" w:hAnsi="Times New Roman;serif"/>
          <w:b/>
          <w:color w:val="000000"/>
          <w:sz w:val="24"/>
        </w:rPr>
        <w:t xml:space="preserve">Amount of Contribution. </w:t>
      </w:r>
      <w:r>
        <w:rPr>
          <w:rFonts w:ascii="Times New Roman;serif" w:hAnsi="Times New Roman;serif"/>
          <w:b w:val="false"/>
          <w:color w:val="000000"/>
          <w:sz w:val="24"/>
        </w:rPr>
        <w:t>I hereby authorize payroll deductions from each paycheck at the percentage of my Compensation (from 1% to 15%) as indicated on the online enrollment page (and as I may subsequently change, to the extent allowed under the provisions of the ESPP and the Administrator) on each payday during the Offering Period in accordance with the ESPP. (Please note that no fractional percentages are permitted.) I acknowledge that a lesser percentage of my Compensation than indicated by me may be contributed if necessary to comply with Applicable Laws (in particular, those related to minimum salary requirements).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understand that the ESPP is a voluntary plan and I acknowledge that any payroll deductions I elect to contribute to the ESPP are made on an entirely voluntary basis. I understand that said payroll deductions will be accumulated for the purchase of shares of Common Stock at the applicable Purchase Price determined in accordance with the ESPP. I also understand that, subject to the provisions of the ESPP, I may freely withdraw from participation in the ESPP (through the Company’s designated electronic process) and receive a full refund of all voluntary contributions I have made under the ESPP that have not been applied toward the purchase of shares of Common Stock. Finally, I understand that if I do not withdraw from an Offering Period, any accumulated payroll deductions will be used to automatically exercise my option and purchase Common Stock under the ESPP.</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I withdraw from the ESPP or become ineligible to participate in the ESPP, or unless the ESPP is terminated by the Company, I will continue to participate in the ESPP during subsequent Offering Periods and shares of Common Stock will be purchased on my behalf with my accumulated payroll deductions on the applicable Exercise Date. My participation in the ESPP will continue to be governed by this Agreement and the ESPP. At its discretion and to the extent permitted by the ESPP, the Company may amend the ESPP and/or this Agreement, and by continuing to participate in the ESPP, and without the need to provide affirmative consent, I agree to the terms and conditions of the amended ESPP and/or Agreement.</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agree to execute a separate participation agreement with the Company or the Employer (as defined below), or any other agreement or consent that may be required by the Company or the Employer in connection with this authorization, either now or in the future. I understand that I will not be able to participate in the ESPP if I fail to execute any such consent or agreement.</w:t>
      </w:r>
    </w:p>
    <w:p>
      <w:pPr>
        <w:pStyle w:val="TextBody"/>
        <w:bidi w:val="0"/>
        <w:spacing w:lineRule="auto" w:line="288" w:before="240" w:after="240"/>
        <w:jc w:val="both"/>
        <w:rPr/>
      </w:pPr>
      <w:r>
        <w:rPr>
          <w:rFonts w:ascii="Times New Roman;serif" w:hAnsi="Times New Roman;serif"/>
          <w:b w:val="false"/>
          <w:color w:val="000000"/>
          <w:sz w:val="24"/>
        </w:rPr>
        <w:t>3.</w:t>
      </w:r>
      <w:r>
        <w:rPr>
          <w:rFonts w:ascii="Times New Roman;serif" w:hAnsi="Times New Roman;serif"/>
          <w:b/>
          <w:color w:val="000000"/>
          <w:sz w:val="24"/>
        </w:rPr>
        <w:t xml:space="preserve">Issuance of Shares. </w:t>
      </w:r>
      <w:r>
        <w:rPr>
          <w:rFonts w:ascii="Times New Roman;serif" w:hAnsi="Times New Roman;serif"/>
          <w:b w:val="false"/>
          <w:color w:val="000000"/>
          <w:sz w:val="24"/>
        </w:rPr>
        <w:t>Shares of Common Stock purchased for me under the ESPP should be issued in the name(s) of the person(s) I specify on the online enrollment page. (Eligible Employee or Eligible Employee and Spouse only).</w:t>
      </w:r>
    </w:p>
    <w:p>
      <w:pPr>
        <w:pStyle w:val="TextBody"/>
        <w:bidi w:val="0"/>
        <w:spacing w:lineRule="auto" w:line="288" w:before="240" w:after="240"/>
        <w:jc w:val="both"/>
        <w:rPr/>
      </w:pPr>
      <w:r>
        <w:rPr>
          <w:rFonts w:ascii="Times New Roman;serif" w:hAnsi="Times New Roman;serif"/>
          <w:b w:val="false"/>
          <w:color w:val="000000"/>
          <w:sz w:val="24"/>
        </w:rPr>
        <w:t>4.</w:t>
      </w:r>
      <w:r>
        <w:rPr>
          <w:rFonts w:ascii="Times New Roman;serif" w:hAnsi="Times New Roman;serif"/>
          <w:b/>
          <w:color w:val="000000"/>
          <w:sz w:val="24"/>
        </w:rPr>
        <w:t>Responsibility for Taxes.</w:t>
      </w:r>
      <w:r>
        <w:rPr>
          <w:color w:val="000000"/>
        </w:rPr>
        <w:t xml:space="preserve"> </w:t>
      </w:r>
      <w:r>
        <w:rPr>
          <w:rFonts w:ascii="Times New Roman;serif" w:hAnsi="Times New Roman;serif"/>
          <w:b w:val="false"/>
          <w:color w:val="000000"/>
          <w:sz w:val="24"/>
        </w:rPr>
        <w:t>I acknowledge that, regardless of any action taken by the Company or, if different, my employer (the “Employer”), the ultimate liability for all income tax, social insurance, payroll tax, fringe benefits tax, payment on account or other tax-related items related to my participation in the ESPP and legally applicable or deemed legally applicable to me (“Tax-Related Items”) is and remains my responsibility and may exceed the amount, if any, actually withheld by the Company</w:t>
      </w:r>
      <w:r>
        <w:rPr>
          <w:color w:val="000000"/>
        </w:rPr>
        <w:t xml:space="preserve"> </w:t>
      </w:r>
      <w:r>
        <w:rPr>
          <w:rFonts w:ascii="Times New Roman;serif" w:hAnsi="Times New Roman;serif"/>
          <w:b w:val="false"/>
          <w:color w:val="000000"/>
          <w:sz w:val="24"/>
        </w:rPr>
        <w:t>or the Employer. I further acknowledge that the Company and/or the Employer (1) make no representations or undertakings regarding the treatment of any Tax-Related Items in connection with any aspect of the ESPP, including, but not limited to, the grant of the option to purchase shares of Common Stock, the purchase of shares of Common Stock, the issuance of shares of Common Stock purchased under the ESPP, the sale of shares of Common Stock purchased under the ESPP or the receipt of any dividends; and (2) do not commit to and are under no obligation to structure the terms of the option to purchase shares of Common Stock or any aspect of the ESPP to reduce or eliminate my liability for Tax-Related Items or achieve any particular tax result. Further, if I am subject to Tax-Related Items in more than one jurisdiction, I acknowledge that</w:t>
      </w:r>
      <w:r>
        <w:rPr>
          <w:color w:val="000000"/>
        </w:rPr>
        <w:t xml:space="preserve"> </w:t>
      </w:r>
      <w:r>
        <w:rPr>
          <w:rFonts w:ascii="Times New Roman;serif" w:hAnsi="Times New Roman;serif"/>
          <w:b w:val="false"/>
          <w:color w:val="000000"/>
          <w:sz w:val="24"/>
        </w:rPr>
        <w:t>the Company and/or the Employer (or former employer, as applicable) may be required to withhold or account for Tax-Related Items in more than one jurisdiction.</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any relevant taxable or tax withholding event, as applicable, I agree to make adequate arrangements satisfactory to the Company and/or the Employer to satisfy all Tax-Related Items. In this regard, I authorize the Company and/or the Employer, at their discretion, to satisfy any obligations with regard to all Tax-Related Items by one or a combination of the following: (1) withholding from my wages or other cash compensation payable to me by the Company, the Employer, or any other Subsidiary or Affiliate; (2) withholding from proceeds of the sale of shares of Common Stock under the ESPP, either through a voluntary sale or through a mandatory sale arranged by the Company (on my behalf pursuant to this authorization without further consent); (3) withholding shares of Common Stock to be issued at purchase under the ESPP; or (4) any other method deemed by the Company to comply with Applicable Laws and the ESPP.</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and/or the Employer may withhold or account for Tax-Related Items by considering statutory withholding rates or other withholding rates, including maximum rates applicable in my jurisdiction(s). In the event of over-withholding, I may receive a refund of any over-withheld amount in cash (with no entitlement to the equivalent in shares of Common Stock) or, if not refunded, I may be able to seek a refund from the applicable tax authorities. In the event of under-withholding, I may be required to pay additional Tax-Related Items directly to the applicable tax authorities. If the obligation for Tax-Related Items is satisfied by withholding shares of Common Stock, for tax purposes, I am deemed to have been issued the full number of shares of Common Stock purchased under the ESPP, notwithstanding that a number of the shares of Common Stock is held back solely for the purpose of paying the Tax-Related Items.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of the sale of shares of Common Stock, if I fail to comply with my obligations in connection with the Tax-Related Items.</w:t>
      </w:r>
    </w:p>
    <w:p>
      <w:pPr>
        <w:pStyle w:val="TextBody"/>
        <w:bidi w:val="0"/>
        <w:spacing w:lineRule="auto" w:line="288" w:before="240" w:after="240"/>
        <w:jc w:val="both"/>
        <w:rPr/>
      </w:pPr>
      <w:r>
        <w:rPr>
          <w:rFonts w:ascii="Times New Roman;serif" w:hAnsi="Times New Roman;serif"/>
          <w:b w:val="false"/>
          <w:color w:val="000000"/>
          <w:sz w:val="24"/>
        </w:rPr>
        <w:t>5.</w:t>
      </w:r>
      <w:r>
        <w:rPr>
          <w:rFonts w:ascii="Times New Roman;serif" w:hAnsi="Times New Roman;serif"/>
          <w:b/>
          <w:color w:val="000000"/>
          <w:sz w:val="24"/>
        </w:rPr>
        <w:t>Nature of Grant.</w:t>
      </w:r>
      <w:r>
        <w:rPr>
          <w:color w:val="000000"/>
        </w:rPr>
        <w:t xml:space="preserve"> </w:t>
      </w:r>
      <w:r>
        <w:rPr>
          <w:rFonts w:ascii="Times New Roman;serif" w:hAnsi="Times New Roman;serif"/>
          <w:b w:val="false"/>
          <w:color w:val="000000"/>
          <w:sz w:val="24"/>
        </w:rPr>
        <w:t>By enrolling and participating in the ESPP, I acknowledge, understand and agree that: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(a)the ESPP is established voluntarily by the Company, it is discretionary in nature, and it may be terminated, suspended or amended by the Company at any time, to the extent permitted by the ESPP;</w:t>
      </w:r>
    </w:p>
    <w:p>
      <w:pPr>
        <w:pStyle w:val="TextBody"/>
        <w:bidi w:val="0"/>
        <w:spacing w:lineRule="auto" w:line="288" w:before="240" w:after="240"/>
        <w:jc w:val="both"/>
        <w:rPr/>
      </w:pPr>
      <w:r>
        <w:rPr>
          <w:rFonts w:ascii="Times New Roman;serif" w:hAnsi="Times New Roman;serif"/>
          <w:b w:val="false"/>
          <w:color w:val="000000"/>
          <w:sz w:val="24"/>
        </w:rPr>
        <w:t>(b)the grant of the option to purchase shares of Common Stock is exceptional, voluntary and does not create any contractual or other right to receive future options</w:t>
      </w:r>
      <w:r>
        <w:rPr>
          <w:color w:val="000000"/>
        </w:rPr>
        <w:t xml:space="preserve"> </w:t>
      </w:r>
      <w:r>
        <w:rPr>
          <w:rFonts w:ascii="Times New Roman;serif" w:hAnsi="Times New Roman;serif"/>
          <w:b w:val="false"/>
          <w:color w:val="000000"/>
          <w:sz w:val="24"/>
        </w:rPr>
        <w:t xml:space="preserve">or benefits in lieu of options, even if options have been granted in the past;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(c)all decisions with respect to future options to purchase shares of Common Stock or other grants, if any, will be at the sole discretion of the Company;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(d)the grant of the option to purchase shares of Common Stock and my participation in the ESPP shall not create a right to employment or be interpreted as forming an employment or service contract with the Company and shall not interfere with the ability of the Employer to terminate my employment relationship (if any) at any time;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(e)I am voluntarily participating in the ESPP;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(f)the ESPP and the shares of Common Stock purchased under the ESPP, and the income from and value of same, are not intended to replace any pension rights or compensation;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(g)the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(h)unless otherwise agreed with the Company, the option to purchase shares of Common Stock and the shares of Common Stock subject to the option, and the income from and value of same, are not granted as consideration for, or in connection with, the service I may provide as a director of a Subsidiary or Affiliate;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(i)the future value of the underlying shares of Common Stock is unknown, indeterminable and cannot be predicted with certainty and the value of the shares of Common Stock purchased under the ESPP may increase or decrease in the future, even below the Purchase Price; </w:t>
      </w:r>
    </w:p>
    <w:p>
      <w:pPr>
        <w:pStyle w:val="TextBody"/>
        <w:bidi w:val="0"/>
        <w:spacing w:lineRule="auto" w:line="288" w:before="240" w:after="240"/>
        <w:jc w:val="both"/>
        <w:rPr/>
      </w:pPr>
      <w:r>
        <w:rPr>
          <w:rFonts w:ascii="Times New Roman;serif" w:hAnsi="Times New Roman;serif"/>
          <w:b w:val="false"/>
          <w:color w:val="000000"/>
          <w:sz w:val="24"/>
        </w:rPr>
        <w:t>(j)no claim or entitlement to compensation or damages shall arise from forfeiture of the option to purchase shares of Common Stock</w:t>
      </w:r>
      <w:r>
        <w:rPr>
          <w:color w:val="000000"/>
        </w:rPr>
        <w:t xml:space="preserve"> </w:t>
      </w:r>
      <w:r>
        <w:rPr>
          <w:rFonts w:ascii="Times New Roman;serif" w:hAnsi="Times New Roman;serif"/>
          <w:b w:val="false"/>
          <w:color w:val="000000"/>
          <w:sz w:val="24"/>
        </w:rPr>
        <w:t>under the ESPP resulting from termination of my employment (for any reason whatsoever, whether or not later found to be invalid or in breach of Applicable Laws in the jurisdiction where I am employed or the terms of my employment agreement, if any);</w:t>
      </w:r>
    </w:p>
    <w:p>
      <w:pPr>
        <w:pStyle w:val="TextBody"/>
        <w:bidi w:val="0"/>
        <w:spacing w:lineRule="auto" w:line="288" w:before="240" w:after="240"/>
        <w:jc w:val="both"/>
        <w:rPr/>
      </w:pPr>
      <w:r>
        <w:rPr>
          <w:rFonts w:ascii="Times New Roman;serif" w:hAnsi="Times New Roman;serif"/>
          <w:b w:val="false"/>
          <w:color w:val="000000"/>
          <w:sz w:val="24"/>
        </w:rPr>
        <w:t>(k)in the event of termination of my employment (for any reason whatsoever, whether or not later found to be invalid or in breach of Applicable Laws in the jurisdiction where I am employed or the terms of my employment agreement, if any), my right to participate in the ESPP, if any, will terminate effective as of the date I cease to actively provide services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employment would not include any contractual notice or any period of “garden leave” or similar period mandated under Applicable Laws in the jurisdiction where I am employed or the terms of my employment agreement, if any); the Administrator shall have exclusive discretion to determine when I am no longer actively employed for purposes of my participation in the ESPP (including whether I can be considered to be actively employed while on a leave of absence);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(l)unless otherwise provided in the ESPP or by the Company in its discretion, the option to purchase shares of Common Stock and the benefits evidenced by this Agreement do not create any entitlement to have the ESPP or any such benefits granted thereunder, transferred to, or assumed by, another company nor to be exchanged, cashed out or substituted for, in connection with any corporate transaction affecting the shares of the Company; and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(m)if I provide services outside the United States: </w:t>
      </w:r>
    </w:p>
    <w:p>
      <w:pPr>
        <w:pStyle w:val="TextBody"/>
        <w:bidi w:val="0"/>
        <w:spacing w:lineRule="auto" w:line="288" w:before="240" w:after="240"/>
        <w:ind w:left="0" w:right="0" w:hanging="406"/>
        <w:jc w:val="both"/>
        <w:rPr>
          <w:rFonts w:ascii="Times New Roman;serif" w:hAnsi="Times New Roman;serif"/>
          <w:b w:val="false"/>
          <w:color w:val="000000"/>
          <w:sz w:val="24"/>
        </w:rPr>
      </w:pPr>
      <w:r>
        <w:rPr>
          <w:rFonts w:ascii="Times New Roman;serif" w:hAnsi="Times New Roman;serif"/>
          <w:b w:val="false"/>
          <w:color w:val="000000"/>
          <w:sz w:val="24"/>
        </w:rPr>
        <w:t xml:space="preserve">(i)the ESPP and the shares of Common Stock subject to the ESPP, and the income from and value of same, are not part of normal or expected compensation for any purposes; and </w:t>
      </w:r>
    </w:p>
    <w:p>
      <w:pPr>
        <w:pStyle w:val="TextBody"/>
        <w:bidi w:val="0"/>
        <w:spacing w:lineRule="auto" w:line="288" w:before="240" w:after="240"/>
        <w:ind w:left="0" w:right="0" w:hanging="473"/>
        <w:jc w:val="both"/>
        <w:rPr>
          <w:rFonts w:ascii="Times New Roman;serif" w:hAnsi="Times New Roman;serif"/>
          <w:b w:val="false"/>
          <w:color w:val="000000"/>
          <w:sz w:val="24"/>
        </w:rPr>
      </w:pPr>
      <w:r>
        <w:rPr>
          <w:rFonts w:ascii="Times New Roman;serif" w:hAnsi="Times New Roman;serif"/>
          <w:b w:val="false"/>
          <w:color w:val="000000"/>
          <w:sz w:val="24"/>
        </w:rPr>
        <w:t>(ii)neither the Company, the Employer nor any Subsidiary or Affiliate shall be liable for any foreign exchange rate fluctuation between my local currency and the United States Dollar that may affect the value of the shares of Common Stock or any amounts due pursuant to the purchase of the shares or the subsequent sale of any shares of Common Stock purchased under the ESPP.</w:t>
      </w:r>
    </w:p>
    <w:p>
      <w:pPr>
        <w:pStyle w:val="TextBody"/>
        <w:bidi w:val="0"/>
        <w:spacing w:lineRule="auto" w:line="288" w:before="240" w:after="240"/>
        <w:jc w:val="both"/>
        <w:rPr/>
      </w:pPr>
      <w:r>
        <w:rPr>
          <w:rFonts w:ascii="Times New Roman;serif" w:hAnsi="Times New Roman;serif"/>
          <w:b w:val="false"/>
          <w:color w:val="000000"/>
          <w:sz w:val="24"/>
        </w:rPr>
        <w:t>6.</w:t>
      </w:r>
      <w:r>
        <w:rPr>
          <w:rFonts w:ascii="Times New Roman;serif" w:hAnsi="Times New Roman;serif"/>
          <w:b/>
          <w:color w:val="000000"/>
          <w:sz w:val="24"/>
        </w:rPr>
        <w:t xml:space="preserve">No Advice Regarding Grant. </w:t>
      </w:r>
      <w:r>
        <w:rPr>
          <w:rFonts w:ascii="Times New Roman;serif" w:hAnsi="Times New Roman;serif"/>
          <w:b w:val="false"/>
          <w:color w:val="000000"/>
          <w:sz w:val="24"/>
        </w:rPr>
        <w:t>The Company is not providing any tax, legal or financial advice, nor is the Company making any recommendations regarding my participation in the ESPP or my purchase or sale of the shares of Common Stock. I understand and agree that I should consult with my own personal tax, legal and financial advisors regarding my participation in the ESPP before taking any action related to the ESPP.</w:t>
      </w:r>
    </w:p>
    <w:p>
      <w:pPr>
        <w:pStyle w:val="TextBody"/>
        <w:bidi w:val="0"/>
        <w:spacing w:lineRule="auto" w:line="288" w:before="240" w:after="240"/>
        <w:jc w:val="both"/>
        <w:rPr/>
      </w:pPr>
      <w:r>
        <w:rPr>
          <w:rFonts w:ascii="Times New Roman;serif" w:hAnsi="Times New Roman;serif"/>
          <w:b w:val="false"/>
          <w:color w:val="000000"/>
          <w:sz w:val="24"/>
        </w:rPr>
        <w:t>7.</w:t>
      </w:r>
      <w:r>
        <w:rPr>
          <w:rFonts w:ascii="Times New Roman;serif" w:hAnsi="Times New Roman;serif"/>
          <w:b/>
          <w:color w:val="000000"/>
          <w:sz w:val="24"/>
        </w:rPr>
        <w:t>Governing Law and Venue.</w:t>
      </w:r>
      <w:r>
        <w:rPr>
          <w:color w:val="000000"/>
        </w:rPr>
        <w:t xml:space="preserve"> </w:t>
      </w:r>
      <w:r>
        <w:rPr>
          <w:rFonts w:ascii="Times New Roman;serif" w:hAnsi="Times New Roman;serif"/>
          <w:b w:val="false"/>
          <w:color w:val="000000"/>
          <w:sz w:val="24"/>
        </w:rPr>
        <w:t xml:space="preserve">The option to purchase shares of Common Stock and the provisions of this Agreement are governed by, and subject to, the laws of the State of California (except its choice-of-law provisions).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pStyle w:val="TextBody"/>
        <w:bidi w:val="0"/>
        <w:spacing w:lineRule="auto" w:line="288" w:before="240" w:after="240"/>
        <w:jc w:val="both"/>
        <w:rPr/>
      </w:pPr>
      <w:r>
        <w:rPr>
          <w:rFonts w:ascii="Times New Roman;serif" w:hAnsi="Times New Roman;serif"/>
          <w:b w:val="false"/>
          <w:color w:val="000000"/>
          <w:sz w:val="24"/>
        </w:rPr>
        <w:t>8.</w:t>
      </w:r>
      <w:r>
        <w:rPr>
          <w:rFonts w:ascii="Times New Roman;serif" w:hAnsi="Times New Roman;serif"/>
          <w:b/>
          <w:color w:val="000000"/>
          <w:sz w:val="24"/>
        </w:rPr>
        <w:t>Language.</w:t>
      </w:r>
      <w:r>
        <w:rPr>
          <w:color w:val="000000"/>
        </w:rPr>
        <w:t xml:space="preserve"> </w:t>
      </w:r>
      <w:r>
        <w:rPr>
          <w:rFonts w:ascii="Times New Roman;serif" w:hAnsi="Times New Roman;serif"/>
          <w:b w:val="false"/>
          <w:color w:val="000000"/>
          <w:sz w:val="24"/>
        </w:rPr>
        <w:t>I acknowledge that I am sufficiently proficient in English, or have consulted with an advisor who is sufficiently proficient in English, so as to allow me to understand the terms and conditions of this Agreement. Furthermore, if I have received this Agreement or any other document related to the ESPP translated into a language other than English and if the meaning of the translated version is different than the English version, the English version will control, unless otherwise required by Applicable Laws.</w:t>
      </w:r>
    </w:p>
    <w:p>
      <w:pPr>
        <w:pStyle w:val="TextBody"/>
        <w:bidi w:val="0"/>
        <w:spacing w:lineRule="auto" w:line="288" w:before="240" w:after="240"/>
        <w:jc w:val="both"/>
        <w:rPr/>
      </w:pPr>
      <w:r>
        <w:rPr>
          <w:rFonts w:ascii="Times New Roman;serif" w:hAnsi="Times New Roman;serif"/>
          <w:b w:val="false"/>
          <w:color w:val="000000"/>
          <w:sz w:val="24"/>
        </w:rPr>
        <w:t>9.</w:t>
      </w:r>
      <w:r>
        <w:rPr>
          <w:rFonts w:ascii="Times New Roman;serif" w:hAnsi="Times New Roman;serif"/>
          <w:b/>
          <w:color w:val="000000"/>
          <w:sz w:val="24"/>
        </w:rPr>
        <w:t>Electronic Delivery and Participation.</w:t>
      </w:r>
      <w:r>
        <w:rPr>
          <w:color w:val="000000"/>
        </w:rPr>
        <w:t xml:space="preserve"> </w:t>
      </w:r>
      <w:r>
        <w:rPr>
          <w:rFonts w:ascii="Times New Roman;serif" w:hAnsi="Times New Roman;serif"/>
          <w:b w:val="false"/>
          <w:color w:val="000000"/>
          <w:sz w:val="24"/>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pStyle w:val="TextBody"/>
        <w:bidi w:val="0"/>
        <w:spacing w:lineRule="auto" w:line="288" w:before="240" w:after="240"/>
        <w:jc w:val="both"/>
        <w:rPr/>
      </w:pPr>
      <w:r>
        <w:rPr>
          <w:rFonts w:ascii="Times New Roman;serif" w:hAnsi="Times New Roman;serif"/>
          <w:b w:val="false"/>
          <w:color w:val="000000"/>
          <w:sz w:val="24"/>
        </w:rPr>
        <w:t>10.</w:t>
      </w:r>
      <w:r>
        <w:rPr>
          <w:rFonts w:ascii="Times New Roman;serif" w:hAnsi="Times New Roman;serif"/>
          <w:b/>
          <w:color w:val="000000"/>
          <w:sz w:val="24"/>
        </w:rPr>
        <w:t xml:space="preserve">Severability. </w:t>
      </w:r>
      <w:r>
        <w:rPr>
          <w:rFonts w:ascii="Times New Roman;serif" w:hAnsi="Times New Roman;serif"/>
          <w:b w:val="false"/>
          <w:color w:val="000000"/>
          <w:sz w:val="24"/>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240" w:after="240"/>
        <w:jc w:val="both"/>
        <w:rPr/>
      </w:pPr>
      <w:r>
        <w:rPr>
          <w:rFonts w:ascii="Times New Roman;serif" w:hAnsi="Times New Roman;serif"/>
          <w:b w:val="false"/>
          <w:color w:val="000000"/>
          <w:sz w:val="24"/>
        </w:rPr>
        <w:t>11.</w:t>
      </w:r>
      <w:r>
        <w:rPr>
          <w:rFonts w:ascii="Times New Roman;serif" w:hAnsi="Times New Roman;serif"/>
          <w:b/>
          <w:color w:val="000000"/>
          <w:sz w:val="24"/>
        </w:rPr>
        <w:t>Appendix</w:t>
      </w:r>
      <w:r>
        <w:rPr>
          <w:rFonts w:ascii="Times New Roman;serif" w:hAnsi="Times New Roman;serif"/>
          <w:b w:val="false"/>
          <w:color w:val="000000"/>
          <w:sz w:val="24"/>
        </w:rPr>
        <w:t>. Notwithstanding any provisions in this Agreement, my participation in the ESPP shall be subject to the additional terms and conditions set forth in for my country in the Appendix. Moreover, if I relocate to one of the countries included in the Appendix or am otherwise considered a resident for local law purposes, the additional terms and conditions for such country will apply to me,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240" w:after="240"/>
        <w:jc w:val="both"/>
        <w:rPr/>
      </w:pPr>
      <w:r>
        <w:rPr>
          <w:rFonts w:ascii="Times New Roman;serif" w:hAnsi="Times New Roman;serif"/>
          <w:b w:val="false"/>
          <w:color w:val="000000"/>
          <w:sz w:val="24"/>
        </w:rPr>
        <w:t>12.</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rPr>
        <w:t>The Company, at its discretion, may elect to terminate, suspend or modify the 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In addition, the Company reserves the right to impose other requirements on my participation in the ESPP and on any shares of Common Stock purchased under the ESPP, to the extent the Company determines it is necessary or advisable for legal or administrative reasons, and to require me to sign any additional agreements or undertakings that may be necessary to accomplish the foregoing.</w:t>
      </w:r>
    </w:p>
    <w:p>
      <w:pPr>
        <w:pStyle w:val="TextBody"/>
        <w:bidi w:val="0"/>
        <w:spacing w:lineRule="auto" w:line="288" w:before="240" w:after="240"/>
        <w:jc w:val="both"/>
        <w:rPr/>
      </w:pPr>
      <w:r>
        <w:rPr>
          <w:rFonts w:ascii="Times New Roman;serif" w:hAnsi="Times New Roman;serif"/>
          <w:b w:val="false"/>
          <w:color w:val="000000"/>
          <w:sz w:val="24"/>
        </w:rPr>
        <w:t>13.</w:t>
      </w:r>
      <w:r>
        <w:rPr>
          <w:rFonts w:ascii="Times New Roman;serif" w:hAnsi="Times New Roman;serif"/>
          <w:b/>
          <w:color w:val="000000"/>
          <w:sz w:val="24"/>
        </w:rPr>
        <w:t>Waiver.</w:t>
      </w:r>
      <w:r>
        <w:rPr>
          <w:color w:val="000000"/>
        </w:rPr>
        <w:t xml:space="preserve"> </w:t>
      </w:r>
      <w:r>
        <w:rPr>
          <w:rFonts w:ascii="Times New Roman;serif" w:hAnsi="Times New Roman;serif"/>
          <w:b w:val="false"/>
          <w:color w:val="000000"/>
          <w:sz w:val="24"/>
        </w:rPr>
        <w:t>I acknowledge that a waiver by the Company of breach of any provision of this Agreement shall not operate or be construed as a waiver of any other provision of this Agreement, or of any subsequent breach by me or any other Participant.</w:t>
      </w:r>
    </w:p>
    <w:p>
      <w:pPr>
        <w:pStyle w:val="TextBody"/>
        <w:bidi w:val="0"/>
        <w:spacing w:lineRule="auto" w:line="288" w:before="240" w:after="240"/>
        <w:jc w:val="both"/>
        <w:rPr/>
      </w:pPr>
      <w:r>
        <w:rPr>
          <w:rFonts w:ascii="Times New Roman;serif" w:hAnsi="Times New Roman;serif"/>
          <w:b w:val="false"/>
          <w:color w:val="000000"/>
          <w:sz w:val="24"/>
        </w:rPr>
        <w:t>14.</w:t>
      </w:r>
      <w:r>
        <w:rPr>
          <w:rFonts w:ascii="Times New Roman;serif" w:hAnsi="Times New Roman;serif"/>
          <w:b/>
          <w:color w:val="000000"/>
          <w:sz w:val="24"/>
        </w:rPr>
        <w:t>Insider-Trading/Market-Abuse Laws</w:t>
      </w:r>
      <w:r>
        <w:rPr>
          <w:rFonts w:ascii="Times New Roman;serif" w:hAnsi="Times New Roman;serif"/>
          <w:b w:val="false"/>
          <w:color w:val="000000"/>
          <w:sz w:val="24"/>
        </w:rPr>
        <w:t>. I may be subject to insider trading restrictions and/or market-abuse laws which may affect my ability to accept, acquire, sell or otherwise dispose of shares of Common Stock under the ESPP, rights to shares, or rights linked to the value of shares during such times as I am considered to have “inside information” regarding the Company (as defined by the laws or regulations in my country). Local insider trading laws and regulations may prohibit the cancellation or amendment of orders I place before possessing inside information. Furthermore, I could be prohibited from (i) disclosing the inside information to any third party (other than on a “need to know” basis) and (ii) “tipping” third parties or causing them otherwise to buy or sell securities. I understand that third parties include fellow employees.</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restrictions under these laws or regulations are separate from and in addition to any restrictions that may be imposed under any applicable Company insider trading policy. I am responsible for complying with any applicable restrictions, and I should speak to my personal legal advisor for further details regarding any applicable insider-trading and/or market-abuse laws in my country.</w:t>
      </w:r>
    </w:p>
    <w:p>
      <w:pPr>
        <w:pStyle w:val="TextBody"/>
        <w:bidi w:val="0"/>
        <w:spacing w:lineRule="auto" w:line="288" w:before="240" w:after="240"/>
        <w:jc w:val="both"/>
        <w:rPr/>
      </w:pPr>
      <w:r>
        <w:rPr>
          <w:rFonts w:ascii="Times New Roman;serif" w:hAnsi="Times New Roman;serif"/>
          <w:b w:val="false"/>
          <w:color w:val="000000"/>
          <w:sz w:val="24"/>
        </w:rPr>
        <w:t>15.</w:t>
      </w:r>
      <w:r>
        <w:rPr>
          <w:rFonts w:ascii="Times New Roman;serif" w:hAnsi="Times New Roman;serif"/>
          <w:b/>
          <w:color w:val="000000"/>
          <w:sz w:val="24"/>
        </w:rPr>
        <w:t>Exchange Control, Foreign Asset/Account and/or Tax Reporting.</w:t>
      </w:r>
      <w:r>
        <w:rPr>
          <w:color w:val="000000"/>
        </w:rPr>
        <w:t xml:space="preserve"> </w:t>
      </w:r>
      <w:r>
        <w:rPr>
          <w:rFonts w:ascii="Times New Roman;serif" w:hAnsi="Times New Roman;serif"/>
          <w:b w:val="false"/>
          <w:color w:val="000000"/>
          <w:sz w:val="24"/>
        </w:rPr>
        <w:t>Certain foreign asset and/or account reporting requirements may affect my ability to acquire or hold shares of Common Stock under the ESPP or cash received from participating in the ESPP (including from any dividends received or sale proceeds arising from the sale of shares of Common Stock) in a brokerage or bank account outside my country. I also may be required to repatriate sale proceeds or other funds received as a result of my participation in the ESPP to my country through a designated bank or broker and/or within a certain time after receipt. In addition, I may be subject to tax payment and/or reporting obligations in connection with any income realized under the ESPP and/or from the sale of shares of Common Stock. I acknowledge that I am responsible for ensuring compliance with any applicable requirements, and that I should consult my personal legal advisor on this matter.</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clicking “ACCEPT” and electronically enrolling in the ESPP, I hereby agree to be bound by the terms of the ESPP and this Agreement. The effectiveness of this Agreement is dependent upon my eligibility to participate in the ESPP. I have received a copy of the complete ESPP and its accompanying prospectus. I understand that my participation in the ESPP is in all respects subject to the terms of the ESPP. Further, I expressly acknowledge the information provided in the Appendix related to the collection, processing and use of my personal data by the Company and its Subsidiaries or Affiliates and the transfer of personal data to the recipients mentioned in the Appendix.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UNDERSTAND THAT THIS AGREEMENT WILL REMAIN IN EFFECT THROUGHOUT SUCCESSIVE OFFERING PERIODS UNLESS TERMINATED BY ME.</w:t>
      </w:r>
    </w:p>
    <w:p>
      <w:pPr>
        <w:pStyle w:val="TextBody"/>
        <w:bidi w:val="0"/>
        <w:spacing w:before="0" w:after="0"/>
        <w:jc w:val="left"/>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APPENDIX</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GLOBAL SUBSCRIPTION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Certain capitalized terms used but not defined in this Appendix have the meanings set forth in the ESPP and/or the Global Subscription Agreement.</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This Appendix includes additional terms and conditions that govern my participation in the ESPP, including the option to purchase shares of Common Stock granted under the ESPP, if I reside and/or work in one of the countries listed below.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If I am a citizen or resident (or am considered as such for local law purposes) of a country other than the one in which I am currently residing and/or working or if I transfer employment and/or residency to another country after enrolling in the ESPP, the terms and conditions of participation in the ESPP contained herein may not be applicable to me and the Company shall, in its discretion, determine to what extent the terms and conditions contained herein shall apply to my participation in the ESPP.</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This Appendix also includes information regarding exchange controls and certain other issues of which I should be aware with respect to participation in the ESPP. The information is based on the securities, exchange control and other laws in effect in the respective countries as of July 2025. Such laws are often complex and change frequently. As a result, the Company strongly recommends that I not rely on the information herein as my only source of information relating to the consequences of my participation in the ESPP because the information may be out of date at the time that I purchase shares of Common Stock under the ESPP or sell the shares of Common Stock acquired under the ESPP.</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the information contained herein is general in nature and may not apply to my particular situation, and the Company is not in a position to assure me of a particular result. Accordingly, I should seek appropriate professional advice as to how the relevant laws in my country may apply to my situation.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Finally, if I am a citizen or resident (or am considered as such for local law purposes) of a country other than the one in which I am currently residing and/or working or if I transfer employment and/or residency to another country after enrolling in the ESPP, the information contained herein may not be applicable to 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DATA PRIVACY PROVISIONS FOR ALL PARTICIPANTS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provisions apply if I reside in European Union / European Economic Area member states, Guernsey, Switzerland or the United Kingdom: </w:t>
      </w:r>
    </w:p>
    <w:p>
      <w:pPr>
        <w:pStyle w:val="TextBody"/>
        <w:bidi w:val="0"/>
        <w:spacing w:lineRule="auto" w:line="288" w:before="240" w:after="240"/>
        <w:ind w:left="0" w:right="0" w:firstLine="360"/>
        <w:jc w:val="both"/>
        <w:rPr/>
      </w:pPr>
      <w:r>
        <w:rPr>
          <w:rFonts w:ascii="Times New Roman;serif" w:hAnsi="Times New Roman;serif"/>
          <w:b/>
          <w:i/>
          <w:color w:val="000000"/>
          <w:sz w:val="24"/>
        </w:rPr>
        <w:t>(i)</w:t>
      </w:r>
      <w:r>
        <w:rPr>
          <w:rFonts w:ascii="Times New Roman;serif" w:hAnsi="Times New Roman;serif"/>
          <w:b/>
          <w:color w:val="000000"/>
          <w:sz w:val="24"/>
        </w:rPr>
        <w:t>Collection and Usage</w:t>
      </w:r>
      <w:r>
        <w:rPr>
          <w:rFonts w:ascii="Times New Roman;serif" w:hAnsi="Times New Roman;serif"/>
          <w:b/>
          <w:i/>
          <w:color w:val="000000"/>
          <w:sz w:val="24"/>
        </w:rPr>
        <w:t>. Pursuant to applicable data protection laws, I am hereby notified that the Company collects, processes, uses and transfers certain personally-identifiable information about me for the legitimate purpose of granting options to purchase shares of Common Stock under the ESPP and implementing, administering and managing my participation in the ESPP. Specifics of the data processing are described below.</w:t>
      </w:r>
    </w:p>
    <w:p>
      <w:pPr>
        <w:pStyle w:val="TextBody"/>
        <w:bidi w:val="0"/>
        <w:spacing w:lineRule="auto" w:line="288" w:before="240" w:after="240"/>
        <w:ind w:left="0" w:right="0" w:firstLine="360"/>
        <w:jc w:val="both"/>
        <w:rPr/>
      </w:pPr>
      <w:r>
        <w:rPr>
          <w:rFonts w:ascii="Times New Roman;serif" w:hAnsi="Times New Roman;serif"/>
          <w:b/>
          <w:i/>
          <w:color w:val="000000"/>
          <w:sz w:val="24"/>
        </w:rPr>
        <w:t>(i)</w:t>
      </w:r>
      <w:r>
        <w:rPr>
          <w:rFonts w:ascii="Times New Roman;serif" w:hAnsi="Times New Roman;serif"/>
          <w:b/>
          <w:color w:val="000000"/>
          <w:sz w:val="24"/>
        </w:rPr>
        <w:t xml:space="preserve">Controller and Representative. </w:t>
      </w:r>
      <w:r>
        <w:rPr>
          <w:rFonts w:ascii="Times New Roman;serif" w:hAnsi="Times New Roman;serif"/>
          <w:b/>
          <w:i/>
          <w:color w:val="000000"/>
          <w:sz w:val="24"/>
        </w:rPr>
        <w:t xml:space="preserve">The Company is the controller responsible for the processing of my personal data in connection with the Plan. The Company’s representative is Chief Privacy Officer,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lineRule="auto" w:line="288" w:before="240" w:after="240"/>
        <w:ind w:left="0" w:right="0" w:firstLine="360"/>
        <w:jc w:val="both"/>
        <w:rPr/>
      </w:pPr>
      <w:r>
        <w:rPr>
          <w:rFonts w:ascii="Times New Roman;serif" w:hAnsi="Times New Roman;serif"/>
          <w:b/>
          <w:i/>
          <w:color w:val="000000"/>
          <w:sz w:val="24"/>
        </w:rPr>
        <w:t>(ii)</w:t>
      </w:r>
      <w:r>
        <w:rPr>
          <w:rFonts w:ascii="Times New Roman;serif" w:hAnsi="Times New Roman;serif"/>
          <w:b/>
          <w:color w:val="000000"/>
          <w:sz w:val="24"/>
        </w:rPr>
        <w:t xml:space="preserve">Personal Data Subject to Processing. </w:t>
      </w:r>
      <w:r>
        <w:rPr>
          <w:rFonts w:ascii="Times New Roman;serif" w:hAnsi="Times New Roman;serif"/>
          <w:b/>
          <w:i/>
          <w:color w:val="000000"/>
          <w:sz w:val="24"/>
        </w:rPr>
        <w:t>The Company collects, processes and uses the following types of personal data about me: my name, employee ID, home address and telephone number, work and email address, date of birth, social security number or other tax identification number, social insurance, passport number or other international identification number, salary, nationality, job title, hire date, work country, department, cost center, subsidiary, organization level, expense group, termination date, supervisor, employment status, any shares of stock or directorships held in the Company, details of all options to purchase shares of Common Stock or any other entitlement to shares of Common Stock awarded, canceled, settled, purchased, vested, unvested or outstanding in my favor, which the Company receives from me or the Employer (“Data”).</w:t>
      </w:r>
    </w:p>
    <w:p>
      <w:pPr>
        <w:pStyle w:val="TextBody"/>
        <w:bidi w:val="0"/>
        <w:spacing w:lineRule="auto" w:line="288" w:before="240" w:after="240"/>
        <w:ind w:left="0" w:right="0" w:firstLine="360"/>
        <w:jc w:val="both"/>
        <w:rPr/>
      </w:pPr>
      <w:r>
        <w:rPr>
          <w:rFonts w:ascii="Times New Roman;serif" w:hAnsi="Times New Roman;serif"/>
          <w:b/>
          <w:i/>
          <w:color w:val="000000"/>
          <w:sz w:val="24"/>
        </w:rPr>
        <w:t>(iii)</w:t>
      </w:r>
      <w:r>
        <w:rPr>
          <w:rFonts w:ascii="Times New Roman;serif" w:hAnsi="Times New Roman;serif"/>
          <w:b/>
          <w:color w:val="000000"/>
          <w:sz w:val="24"/>
        </w:rPr>
        <w:t xml:space="preserve">Purposes and Legal Bases of Processing. </w:t>
      </w:r>
      <w:r>
        <w:rPr>
          <w:rFonts w:ascii="Times New Roman;serif" w:hAnsi="Times New Roman;serif"/>
          <w:b/>
          <w:i/>
          <w:color w:val="000000"/>
          <w:sz w:val="24"/>
        </w:rPr>
        <w:t>The Company processes Data for the purposes of performing its contractual obligations under this Agreement, granting options to purchase shares of Common Stock under the ESPP, implementing, administering and managing my participation in the ESPP and facilitating compliance with applicable tax and securities law. The legal basis for the processing of Data by the Company and the third-party service providers described below is the necessity of the data processing for the Company to perform its contractual obligations under this Agreement and for the Company’s legitimate business interests of managing the ESPP and generally administering employee equity awards.</w:t>
      </w:r>
    </w:p>
    <w:p>
      <w:pPr>
        <w:pStyle w:val="TextBody"/>
        <w:bidi w:val="0"/>
        <w:spacing w:lineRule="auto" w:line="288" w:before="240" w:after="240"/>
        <w:ind w:left="0" w:right="0" w:firstLine="360"/>
        <w:jc w:val="both"/>
        <w:rPr/>
      </w:pPr>
      <w:r>
        <w:rPr>
          <w:rFonts w:ascii="Times New Roman;serif" w:hAnsi="Times New Roman;serif"/>
          <w:b/>
          <w:i/>
          <w:color w:val="000000"/>
          <w:sz w:val="24"/>
        </w:rPr>
        <w:t>(iv)</w:t>
      </w:r>
      <w:r>
        <w:rPr>
          <w:rFonts w:ascii="Times New Roman;serif" w:hAnsi="Times New Roman;serif"/>
          <w:b/>
          <w:color w:val="000000"/>
          <w:sz w:val="24"/>
        </w:rPr>
        <w:t>Service Providers</w:t>
      </w:r>
      <w:r>
        <w:rPr>
          <w:rFonts w:ascii="Times New Roman;serif" w:hAnsi="Times New Roman;serif"/>
          <w:b/>
          <w:i/>
          <w:color w:val="000000"/>
          <w:sz w:val="24"/>
        </w:rPr>
        <w:t>. The Company transfers Data to its designated stock plan service provider (currently, E*TRADE Financial Services, Inc. and certain of its affiliated companies (“E*TRADE”)),</w:t>
      </w:r>
      <w:r>
        <w:rPr>
          <w:color w:val="000000"/>
        </w:rPr>
        <w:t xml:space="preserve"> </w:t>
      </w:r>
      <w:r>
        <w:rPr>
          <w:rFonts w:ascii="Times New Roman;serif" w:hAnsi="Times New Roman;serif"/>
          <w:b/>
          <w:i/>
          <w:color w:val="000000"/>
          <w:sz w:val="24"/>
        </w:rPr>
        <w:t xml:space="preserve">which is an independent stock plan administrator with operations, relevant to the Company, in the United States and assists the Company with the implementation, administration and management of the ESPP. In the future, the Company may select different service providers and may share Data with such service providers. The Company’s stock plan administrators will open an account for me to receive and trade shares of Common Stock. I will be asked to agree on separate terms and data processing practices with the service provider, which is a condition of my ability to participate in the ESPP. Data will only be accessible by those individuals requiring access to it for purposes of implementing, administering and operating my participation in the Plan. I understand that I may request a list with the names and addresses of any potential recipients of Data by contacting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w:t>
      </w:r>
    </w:p>
    <w:p>
      <w:pPr>
        <w:pStyle w:val="TextBody"/>
        <w:bidi w:val="0"/>
        <w:spacing w:lineRule="auto" w:line="288" w:before="240" w:after="240"/>
        <w:ind w:left="0" w:right="0" w:firstLine="360"/>
        <w:jc w:val="both"/>
        <w:rPr/>
      </w:pPr>
      <w:r>
        <w:rPr>
          <w:rFonts w:ascii="Times New Roman;serif" w:hAnsi="Times New Roman;serif"/>
          <w:b/>
          <w:i/>
          <w:color w:val="000000"/>
          <w:sz w:val="24"/>
        </w:rPr>
        <w:t>(v)</w:t>
      </w:r>
      <w:r>
        <w:rPr>
          <w:rFonts w:ascii="Times New Roman;serif" w:hAnsi="Times New Roman;serif"/>
          <w:b/>
          <w:color w:val="000000"/>
          <w:sz w:val="24"/>
        </w:rPr>
        <w:t>International Transfers</w:t>
      </w:r>
      <w:r>
        <w:rPr>
          <w:rFonts w:ascii="Times New Roman;serif" w:hAnsi="Times New Roman;serif"/>
          <w:b/>
          <w:i/>
          <w:color w:val="000000"/>
          <w:sz w:val="24"/>
        </w:rPr>
        <w:t xml:space="preserve">. The Company and its service providers, including, without limitation, E*TRADE, operate, relevant to the Company, in the United States, which means that it will be necessary for Data to be transferred to, and processed in, the United States. I understand and acknowledge that the United States is not subject to an unlimited adequacy finding by the European Commission and that Data may not have an equivalent level of protection as compared to my country of residence. To provide appropriate safeguards for the protection of Data, Data is transferred to the Company based on data transfer and processing agreements implementing the EU Standard Contractual Clauses. I may request a copy of the safeguards used to protect Data by contacting the Company at: </w:t>
      </w:r>
      <w:r>
        <w:rPr>
          <w:rFonts w:ascii="Times New Roman;serif" w:hAnsi="Times New Roman;serif"/>
          <w:b/>
          <w:i/>
          <w:color w:val="000000"/>
          <w:sz w:val="24"/>
          <w:u w:val="single"/>
        </w:rPr>
        <w:t>privacy@paloaltonetworks.com</w:t>
      </w:r>
      <w:r>
        <w:rPr>
          <w:rFonts w:ascii="Times New Roman;serif" w:hAnsi="Times New Roman;serif"/>
          <w:b/>
          <w:i/>
          <w:color w:val="000000"/>
          <w:sz w:val="24"/>
        </w:rPr>
        <w:t>. The Company reserves the right to use a different but adequate data transfer legal mechanism.</w:t>
      </w:r>
    </w:p>
    <w:p>
      <w:pPr>
        <w:pStyle w:val="TextBody"/>
        <w:bidi w:val="0"/>
        <w:spacing w:lineRule="auto" w:line="288" w:before="240" w:after="240"/>
        <w:ind w:left="0" w:right="0" w:firstLine="360"/>
        <w:jc w:val="both"/>
        <w:rPr/>
      </w:pPr>
      <w:r>
        <w:rPr>
          <w:rFonts w:ascii="Times New Roman;serif" w:hAnsi="Times New Roman;serif"/>
          <w:b/>
          <w:i/>
          <w:color w:val="000000"/>
          <w:sz w:val="24"/>
        </w:rPr>
        <w:t>(vi)</w:t>
      </w:r>
      <w:r>
        <w:rPr>
          <w:rFonts w:ascii="Times New Roman;serif" w:hAnsi="Times New Roman;serif"/>
          <w:b/>
          <w:color w:val="000000"/>
          <w:sz w:val="24"/>
        </w:rPr>
        <w:t>Data Retention</w:t>
      </w:r>
      <w:r>
        <w:rPr>
          <w:rFonts w:ascii="Times New Roman;serif" w:hAnsi="Times New Roman;serif"/>
          <w:b/>
          <w:i/>
          <w:color w:val="000000"/>
          <w:sz w:val="24"/>
        </w:rPr>
        <w:t>. The Company will use Data only as long as is necessary to implement, administer and manage my participation in the ESPP, or as required to comply with Applicable Laws, exercise or defense of legal rights, and archiving, back-up and deletion processes. When the Company no longer needs Data, the Company will remove it from its systems according to its retention policies. If the Company keeps data longer, it would be to satisfy legal or regulatory obligations and the Company’s legal basis would be relevant laws or regulations.</w:t>
      </w:r>
    </w:p>
    <w:p>
      <w:pPr>
        <w:pStyle w:val="TextBody"/>
        <w:bidi w:val="0"/>
        <w:spacing w:lineRule="auto" w:line="288" w:before="240" w:after="240"/>
        <w:ind w:left="0" w:right="0" w:firstLine="360"/>
        <w:jc w:val="both"/>
        <w:rPr/>
      </w:pPr>
      <w:r>
        <w:rPr>
          <w:rFonts w:ascii="Times New Roman;serif" w:hAnsi="Times New Roman;serif"/>
          <w:b/>
          <w:i/>
          <w:color w:val="000000"/>
          <w:sz w:val="24"/>
        </w:rPr>
        <w:t>(vii)</w:t>
      </w:r>
      <w:r>
        <w:rPr>
          <w:rFonts w:ascii="Times New Roman;serif" w:hAnsi="Times New Roman;serif"/>
          <w:b/>
          <w:color w:val="000000"/>
          <w:sz w:val="24"/>
        </w:rPr>
        <w:t>Data Subject Rights</w:t>
      </w:r>
      <w:r>
        <w:rPr>
          <w:rFonts w:ascii="Times New Roman;serif" w:hAnsi="Times New Roman;serif"/>
          <w:b/>
          <w:i/>
          <w:color w:val="000000"/>
          <w:sz w:val="24"/>
        </w:rPr>
        <w:t xml:space="preserve">. To the extent provided by law, I have the right to (i) inquire whether and what kind of Data the Company holds about me and how it is processed, and to access or request copies of such Data, (ii) request the correction or supplementation of Data that is inaccurate, incomplete or out-of-date in light of the purposes underlying the processing, or (iii) obtain the erasure of Data no longer necessary for the purposes underlying the processing or processed in non-compliance with applicable legal requirements. In addition, I have, to the extent provided by law, the right to (iv) request the Company to restrict the processing of Data in certain situations where I feel its processing is inappropriate, (v) object, in certain circumstances, to the processing of Data for legitimate interests, and to (vi) request portability of Data that I have actively or passively provided to the Company, where the processing of such Data is based on consent or a contractual agreement with me and is carried out by automated means. In case of concerns, I also have the right to (vii) lodge a complaint with the competent local data protection authority. To receive additional information regarding my rights, raise any other questions regarding the practices described in this Agreement or to exercise my rights, I should contact the Company at: </w:t>
      </w:r>
      <w:r>
        <w:rPr>
          <w:rFonts w:ascii="Times New Roman;serif" w:hAnsi="Times New Roman;serif"/>
          <w:b/>
          <w:i/>
          <w:color w:val="000000"/>
          <w:sz w:val="24"/>
          <w:u w:val="single"/>
        </w:rPr>
        <w:t>privacy@paloaltonetworks.com</w:t>
      </w:r>
      <w:r>
        <w:rPr>
          <w:color w:val="000000"/>
        </w:rPr>
        <w:t xml:space="preserve"> </w:t>
      </w:r>
      <w:r>
        <w:rPr>
          <w:rFonts w:ascii="Times New Roman;serif" w:hAnsi="Times New Roman;serif"/>
          <w:b/>
          <w:i/>
          <w:color w:val="000000"/>
          <w:sz w:val="24"/>
        </w:rPr>
        <w:t xml:space="preserve">(for questions) or </w:t>
      </w:r>
      <w:r>
        <w:rPr>
          <w:rFonts w:ascii="Times New Roman;serif" w:hAnsi="Times New Roman;serif"/>
          <w:b/>
          <w:i/>
          <w:color w:val="000000"/>
          <w:sz w:val="24"/>
          <w:u w:val="single"/>
        </w:rPr>
        <w:t>individualrights@paloaltonetworks.com</w:t>
      </w:r>
      <w:r>
        <w:rPr>
          <w:color w:val="000000"/>
        </w:rPr>
        <w:t xml:space="preserve"> </w:t>
      </w:r>
      <w:r>
        <w:rPr>
          <w:rFonts w:ascii="Times New Roman;serif" w:hAnsi="Times New Roman;serif"/>
          <w:b/>
          <w:i/>
          <w:color w:val="000000"/>
          <w:sz w:val="24"/>
        </w:rPr>
        <w:t>(to exercise rights).</w:t>
      </w:r>
    </w:p>
    <w:p>
      <w:pPr>
        <w:pStyle w:val="TextBody"/>
        <w:bidi w:val="0"/>
        <w:spacing w:lineRule="auto" w:line="288" w:before="240" w:after="240"/>
        <w:ind w:left="0" w:right="0" w:firstLine="360"/>
        <w:jc w:val="both"/>
        <w:rPr/>
      </w:pPr>
      <w:r>
        <w:rPr>
          <w:rFonts w:ascii="Times New Roman;serif" w:hAnsi="Times New Roman;serif"/>
          <w:b/>
          <w:i/>
          <w:color w:val="000000"/>
          <w:sz w:val="24"/>
        </w:rPr>
        <w:t>(viii)</w:t>
      </w:r>
      <w:r>
        <w:rPr>
          <w:rFonts w:ascii="Times New Roman;serif" w:hAnsi="Times New Roman;serif"/>
          <w:b/>
          <w:color w:val="000000"/>
          <w:sz w:val="24"/>
        </w:rPr>
        <w:t xml:space="preserve">Contractual Requirement. </w:t>
      </w:r>
      <w:r>
        <w:rPr>
          <w:rFonts w:ascii="Times New Roman;serif" w:hAnsi="Times New Roman;serif"/>
          <w:b/>
          <w:i/>
          <w:color w:val="000000"/>
          <w:sz w:val="24"/>
        </w:rPr>
        <w:t xml:space="preserve">My provision of Data and its processing as described above is a contractual requirement and a condition to my ability to participate in the ESPP. I understand that, as a consequence of my refusing to provide Data, the Company may not be able to allow me to participate in the ESPP, grant options to purchase shares of Common Stock to me or administer or maintain such options to purchase shares of Common Stock under the ESPP. However, my participation in the ESPP and my acceptance of this Agreement are purely voluntary. While I will not be able receive options to purchase shares of Common Stock under the ESPP if I decide against participating in the ESPP or providing Data as described above, with the exception of not receiving these benefits, my status as an employee will not be affected in any way. For more information on the consequences of the refusal to provide Data, I may contact the Company at: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provisions apply if I reside outside of European Union / European Economic Area member states, Guernsey, Switzerland and the United Kingdom: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I consent to the collection, use and transfer, in electronic or other form, of my personal data as described in this Agreement and any other ESPP participation materials by and among, as applicable, the Employer, the Company and any Subsidiary or Affiliate for the exclusive purpose of implementing, administering and managing my participation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I understand that the Company and the Employer hold certain personal information about me, including, but not limited to, my name, home address and telephone number, email address, date of birth, social insurance number, passport or other identification number, salary, nationality, job title, any shares of stock or directorships held in the Company, details of all options to purchase shares of Common Stock under the ESPP or any other entitlement to shares of stock awarded, cancelled, exercised, vested, unvested, or outstanding in my favor (“Data”), for the exclusive purpose of implementing, administering and managing the ESPP.</w:t>
      </w:r>
    </w:p>
    <w:p>
      <w:pPr>
        <w:pStyle w:val="TextBody"/>
        <w:bidi w:val="0"/>
        <w:spacing w:lineRule="auto" w:line="288" w:before="240" w:after="240"/>
        <w:jc w:val="both"/>
        <w:rPr/>
      </w:pPr>
      <w:r>
        <w:rPr>
          <w:rFonts w:ascii="Times New Roman;serif" w:hAnsi="Times New Roman;serif"/>
          <w:b/>
          <w:i/>
          <w:color w:val="000000"/>
          <w:sz w:val="24"/>
        </w:rPr>
        <w:t>I understand that Data will be transferred to E*TRADE Financial Services, Inc. and certain of its affiliated companies (collectively, “E*TRADE”), or such other stock plan service provider as may be selected by the Company in the future, which is assisting the Company with the implementation, administration and management of the ESPP. I understand that the recipients of Data may be located in the United States or elsewhere, and that the recipients’ country (</w:t>
      </w:r>
      <w:r>
        <w:rPr>
          <w:rFonts w:ascii="Times New Roman;serif" w:hAnsi="Times New Roman;serif"/>
          <w:b/>
          <w:color w:val="000000"/>
          <w:sz w:val="24"/>
        </w:rPr>
        <w:t>e.g.</w:t>
      </w:r>
      <w:r>
        <w:rPr>
          <w:rFonts w:ascii="Times New Roman;serif" w:hAnsi="Times New Roman;serif"/>
          <w:b/>
          <w:i/>
          <w:color w:val="000000"/>
          <w:sz w:val="24"/>
        </w:rPr>
        <w:t xml:space="preserve">, the United States) may have different data privacy laws and protections than my country. I understand that, if I resides outside the U.S., I may request a list with the names and addresses of any potential recipients of Data by contacting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 xml:space="preserve">. I authorize the Company, E*TRADE and any other possible recipients which may assist the Company, (presently or in the future) with implementing, administering and managing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if I reside outside the U.S., I may, at any time, view Data, request additional information about the storage and processing of Data, require any necessary amendments to Data or refuse or withdraw the consents herein, in any case without cost, by contacting in writing my local human resources representative, filling out the individual rights request online form at </w:t>
      </w:r>
      <w:r>
        <w:rPr>
          <w:rFonts w:ascii="Times New Roman;serif" w:hAnsi="Times New Roman;serif"/>
          <w:b/>
          <w:i/>
          <w:color w:val="000000"/>
          <w:sz w:val="24"/>
          <w:u w:val="single"/>
        </w:rPr>
        <w:t>https://www.paloaltonetworks.com/legal-notices/privacy</w:t>
      </w:r>
      <w:r>
        <w:rPr>
          <w:rFonts w:ascii="Times New Roman;serif" w:hAnsi="Times New Roman;serif"/>
          <w:b/>
          <w:i/>
          <w:color w:val="000000"/>
          <w:sz w:val="24"/>
        </w:rPr>
        <w:t xml:space="preserve">, or by sending an email to </w:t>
      </w:r>
      <w:r>
        <w:rPr>
          <w:rFonts w:ascii="Times New Roman;serif" w:hAnsi="Times New Roman;serif"/>
          <w:b/>
          <w:i/>
          <w:color w:val="000000"/>
          <w:sz w:val="24"/>
          <w:u w:val="single"/>
        </w:rPr>
        <w:t>individualrights@paloaltonetworks.com</w:t>
      </w:r>
      <w:r>
        <w:rPr>
          <w:rFonts w:ascii="Times New Roman;serif" w:hAnsi="Times New Roman;serif"/>
          <w:b/>
          <w:i/>
          <w:color w:val="000000"/>
          <w:sz w:val="24"/>
        </w:rPr>
        <w:t xml:space="preserve">. 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me the option to purchase shares of Common Stock under the ESPP or other equity awards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 or send an email to </w:t>
      </w:r>
      <w:r>
        <w:rPr>
          <w:rFonts w:ascii="Times New Roman;serif" w:hAnsi="Times New Roman;serif"/>
          <w:b/>
          <w:i/>
          <w:color w:val="000000"/>
          <w:sz w:val="24"/>
          <w:u w:val="single"/>
        </w:rPr>
        <w:t>privacy@paloaltonetworks.com</w:t>
      </w:r>
      <w:r>
        <w:rPr>
          <w:rFonts w:ascii="Times New Roman;serif" w:hAnsi="Times New Roman;serif"/>
          <w:b/>
          <w:i/>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AUSTRALIA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0" w:after="0"/>
        <w:jc w:val="both"/>
        <w:rPr/>
      </w:pPr>
      <w:r>
        <w:rPr>
          <w:rFonts w:ascii="Times New Roman;serif" w:hAnsi="Times New Roman;serif"/>
          <w:b/>
          <w:color w:val="000000"/>
          <w:sz w:val="24"/>
        </w:rPr>
        <w:t>Australian Offer Document</w:t>
      </w:r>
      <w:r>
        <w:rPr>
          <w:rFonts w:ascii="Times New Roman;serif" w:hAnsi="Times New Roman;serif"/>
          <w:b w:val="false"/>
          <w:color w:val="000000"/>
          <w:sz w:val="24"/>
        </w:rPr>
        <w:t>. The offer of options to purchase shares of Common Stock under the ESPP is being made under Division 1A of Part 7.12 of the Australian Corporations Act 2001 (Cth) (“Division 1A”). For purposes of Division 1A, the Agreement, including this Appendix, is to be regarded as an Employee Share Scheme (“ESS”) offer document.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the information set out in the Agreement (including this Appendix), I am also being provided with copies of the following documents: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(a)the ESPP; </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(b)the ESPP prospectus; and</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(c)Employee Information Supplement (collectively, the “Additional Documents”).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Additional Documents provide further information to help me make an informed investment decision about participating in the ESPP. Neither the ESPP nor the ESPP prospectus is a prospectus for the purposes of the Corporations Act 2001.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should not rely upon any oral statements made in relation to this offer. I should rely only upon the statements contained in the Agreement (including this Appendix) and the Additional Documents when considering participation in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Exchange control reporting is required for cash transactions exceeding a certain threshold (currently AUD10,000) and international fund transfers. I understand that the Australian bank assisting with the transaction may file the report for me. If there is no Australian bank involved in the transfer, I will have to file the report. I acknowledge that I should consult with a personal advisor to ensure that I am properly complying with applicable reporting requirements in Australia.</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w:t>
      </w:r>
      <w:r>
        <w:rPr>
          <w:rFonts w:ascii="Times New Roman;serif" w:hAnsi="Times New Roman;serif"/>
          <w:b/>
          <w:color w:val="000000"/>
          <w:sz w:val="24"/>
        </w:rPr>
        <w:t>Investment in Common Stock involves a degree of risk. Eligible employees who elect to participate in the ESPP should monitor their participation and consider all risk factors relevant to the acquisition of Common Stock under the ESPP as set forth below and in the Additional Documents.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The information herein is general information only. It is not advice or information that takes into account my objectives, financial situation and needs. I should consider obtaining my own financial product advice from a person who is licensed by the Australian Securities &amp; Investments Commission (“ASIC”) to give such advice.</w:t>
      </w:r>
    </w:p>
    <w:p>
      <w:pPr>
        <w:pStyle w:val="TextBody"/>
        <w:bidi w:val="0"/>
        <w:spacing w:lineRule="auto" w:line="288" w:before="240" w:after="240"/>
        <w:jc w:val="both"/>
        <w:rPr/>
      </w:pPr>
      <w:r>
        <w:rPr>
          <w:rFonts w:ascii="Times New Roman;serif" w:hAnsi="Times New Roman;serif"/>
          <w:b/>
          <w:color w:val="000000"/>
          <w:sz w:val="24"/>
        </w:rPr>
        <w:t>Additional Risk Factors for Australian Residents</w:t>
      </w:r>
      <w:r>
        <w:rPr>
          <w:rFonts w:ascii="Times New Roman;serif" w:hAnsi="Times New Roman;serif"/>
          <w:b w:val="false"/>
          <w:color w:val="000000"/>
          <w:sz w:val="24"/>
        </w:rPr>
        <w:t>. I should have regard to risk factors relevant to investment in securities generally and, in particular, to holding shares of Common Stock. For example, the price at which an individual share of Common Stock is quoted on the Nasdaq Global Select Market (“Nasdaq”) may increase or decrease due to a number of factors. There is no guarantee that the price of a share of Common Stock will increase. Factors that may affect the price of the Common Stock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pStyle w:val="TextBody"/>
        <w:bidi w:val="0"/>
        <w:spacing w:lineRule="auto" w:line="288" w:before="240" w:after="240"/>
        <w:jc w:val="both"/>
        <w:rPr/>
      </w:pPr>
      <w:r>
        <w:rPr>
          <w:rFonts w:ascii="Times New Roman;serif" w:hAnsi="Times New Roman;serif"/>
          <w:b w:val="false"/>
          <w:color w:val="000000"/>
          <w:sz w:val="24"/>
        </w:rPr>
        <w:t xml:space="preserve">More information about potential factors that could affect the Company’s business and financial results will be included in the Company’s most recent Annual Report on Form 10-K and the Company’s Quarterly Report on Form 10-Q. Copies of these reports are available at </w:t>
      </w:r>
      <w:r>
        <w:rPr>
          <w:rFonts w:ascii="Times New Roman;serif" w:hAnsi="Times New Roman;serif"/>
          <w:b w:val="false"/>
          <w:color w:val="000000"/>
          <w:sz w:val="24"/>
          <w:u w:val="single"/>
        </w:rPr>
        <w:t>www.sec.gov</w:t>
      </w:r>
      <w:r>
        <w:rPr>
          <w:rFonts w:ascii="Times New Roman;serif" w:hAnsi="Times New Roman;serif"/>
          <w:b w:val="false"/>
          <w:color w:val="000000"/>
          <w:sz w:val="24"/>
        </w:rPr>
        <w:t xml:space="preserve">, on the Company’s investor’s page at </w:t>
      </w:r>
      <w:r>
        <w:rPr>
          <w:rFonts w:ascii="Times New Roman;serif" w:hAnsi="Times New Roman;serif"/>
          <w:b w:val="false"/>
          <w:color w:val="000000"/>
          <w:sz w:val="24"/>
          <w:u w:val="single"/>
        </w:rPr>
        <w:t>https://investors.paloaltonetworks.com/investor-relations/financials/sec-filings/default.aspx</w:t>
      </w:r>
      <w:r>
        <w:rPr>
          <w:rFonts w:ascii="Times New Roman;serif" w:hAnsi="Times New Roman;serif"/>
          <w:b w:val="false"/>
          <w:color w:val="000000"/>
          <w:sz w:val="24"/>
        </w:rPr>
        <w:t>, and upon request to the Company.</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In addition, Participant should be aware that the Australian dollar (“AUD”) value of any shares of Common Stock acquired under the ESPP will be affected by the USD/AUD exchange rate. Participation in the ESPP involves certain risks related to fluctuations in this rate of exchange.</w:t>
      </w:r>
    </w:p>
    <w:p>
      <w:pPr>
        <w:pStyle w:val="TextBody"/>
        <w:bidi w:val="0"/>
        <w:spacing w:lineRule="auto" w:line="288" w:before="240" w:after="240"/>
        <w:jc w:val="both"/>
        <w:rPr/>
      </w:pPr>
      <w:r>
        <w:rPr>
          <w:rFonts w:ascii="Times New Roman;serif" w:hAnsi="Times New Roman;serif"/>
          <w:b/>
          <w:color w:val="000000"/>
          <w:sz w:val="24"/>
        </w:rPr>
        <w:t>Common Stock in a U.S. Corporation</w:t>
      </w:r>
      <w:r>
        <w:rPr>
          <w:rFonts w:ascii="Times New Roman;serif" w:hAnsi="Times New Roman;serif"/>
          <w:b w:val="false"/>
          <w:color w:val="000000"/>
          <w:sz w:val="24"/>
        </w:rPr>
        <w:t>. Common stock of a U.S. corporation is analogous to ordinary shares of an Australian corporation. Each holder of a share of Common Stock is entitled to one vote. Dividends may be paid on the shares of Common Stock out of any funds of the Company legally available for dividends at the discretion of the Board. Further, the Common Stock is not liable to any further calls for payment of capital or for other assessment by the Company and have no sinking fund provisions, pre-emptive rights, conversion rights or redemption provisions.</w:t>
      </w:r>
    </w:p>
    <w:p>
      <w:pPr>
        <w:pStyle w:val="TextBody"/>
        <w:bidi w:val="0"/>
        <w:spacing w:lineRule="auto" w:line="288" w:before="240" w:after="240"/>
        <w:jc w:val="both"/>
        <w:rPr/>
      </w:pPr>
      <w:r>
        <w:rPr>
          <w:rFonts w:ascii="Times New Roman;serif" w:hAnsi="Times New Roman;serif"/>
          <w:b/>
          <w:color w:val="000000"/>
          <w:sz w:val="24"/>
        </w:rPr>
        <w:t>Ascertaining the Market Price of Shares</w:t>
      </w:r>
      <w:r>
        <w:rPr>
          <w:rFonts w:ascii="Times New Roman;serif" w:hAnsi="Times New Roman;serif"/>
          <w:b w:val="false"/>
          <w:color w:val="000000"/>
          <w:sz w:val="24"/>
        </w:rPr>
        <w:t xml:space="preserve">. I may ascertain the current market price of the Common Stock as traded on The Nasdaq Global Select Market under the symbol “PANW” at </w:t>
      </w:r>
      <w:r>
        <w:rPr>
          <w:rFonts w:ascii="Times New Roman;serif" w:hAnsi="Times New Roman;serif"/>
          <w:b w:val="false"/>
          <w:color w:val="000000"/>
          <w:sz w:val="24"/>
          <w:u w:val="single"/>
        </w:rPr>
        <w:t>https://www.nasdaq.com/market-activity/stocks/panw</w:t>
      </w:r>
      <w:r>
        <w:rPr>
          <w:rFonts w:ascii="Times New Roman;serif" w:hAnsi="Times New Roman;serif"/>
          <w:b w:val="false"/>
          <w:color w:val="000000"/>
          <w:sz w:val="24"/>
        </w:rPr>
        <w:t xml:space="preserve">. The AUD equivalent of that price can be obtained at </w:t>
      </w:r>
      <w:r>
        <w:rPr>
          <w:rFonts w:ascii="Times New Roman;serif" w:hAnsi="Times New Roman;serif"/>
          <w:b w:val="false"/>
          <w:color w:val="000000"/>
          <w:sz w:val="24"/>
          <w:u w:val="single"/>
        </w:rPr>
        <w:t>www.rba.gov.au/statistics/frequency/exchange-rates.html</w:t>
      </w:r>
      <w:r>
        <w:rPr>
          <w:rFonts w:ascii="Times New Roman;serif" w:hAnsi="Times New Roman;serif"/>
          <w:b w:val="false"/>
          <w:color w:val="000000"/>
          <w:sz w:val="24"/>
        </w:rPr>
        <w:t xml:space="preserve">. </w:t>
      </w:r>
      <w:r>
        <w:rPr>
          <w:rFonts w:ascii="Times New Roman;serif" w:hAnsi="Times New Roman;serif"/>
          <w:b w:val="false"/>
          <w:i/>
          <w:color w:val="000000"/>
          <w:sz w:val="24"/>
        </w:rPr>
        <w:t>Please note that this is not a prediction of what the market price of the Common Stock will be on any applicable Exercise Date or when shares of Common Stock are issued to me (or at any other time), or of the applicable exchange rate at such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pPr>
      <w:r>
        <w:rPr>
          <w:rFonts w:ascii="Times New Roman;serif" w:hAnsi="Times New Roman;serif"/>
          <w:b/>
          <w:color w:val="000000"/>
          <w:sz w:val="24"/>
        </w:rPr>
        <w:t xml:space="preserve">Statutory Terms and Conditions. </w:t>
      </w:r>
      <w:r>
        <w:rPr>
          <w:rFonts w:ascii="Times New Roman;serif" w:hAnsi="Times New Roman;serif"/>
          <w:b w:val="false"/>
          <w:color w:val="000000"/>
          <w:sz w:val="24"/>
        </w:rPr>
        <w:t>As noted above, this offer is being made under Division 1A. To comply with Division 1A, the following terms and conditions apply:</w:t>
      </w:r>
    </w:p>
    <w:tbl>
      <w:tblPr>
        <w:tblW w:w="2474" w:type="dxa"/>
        <w:jc w:val="left"/>
        <w:tblInd w:w="0" w:type="dxa"/>
        <w:tblLayout w:type="fixed"/>
        <w:tblCellMar>
          <w:top w:w="28" w:type="dxa"/>
          <w:left w:w="28" w:type="dxa"/>
          <w:bottom w:w="28" w:type="dxa"/>
          <w:right w:w="28" w:type="dxa"/>
        </w:tblCellMar>
      </w:tblPr>
      <w:tblGrid>
        <w:gridCol w:w="792"/>
        <w:gridCol w:w="696"/>
        <w:gridCol w:w="98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4" w:space="0" w:color="000000"/>
              <w:left w:val="single" w:sz="4" w:space="0" w:color="000000"/>
              <w:bottom w:val="single" w:sz="4" w:space="0" w:color="000000"/>
              <w:right w:val="single" w:sz="4" w:space="0" w:color="000000"/>
            </w:tcBorders>
            <w:shd w:fill="A6A6A6"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1.    Enrollment Period</w:t>
            </w:r>
          </w:p>
        </w:tc>
      </w:tr>
    </w:tbl>
    <w:p>
      <w:pPr>
        <w:pStyle w:val="TextBody"/>
        <w:bidi w:val="0"/>
        <w:spacing w:lineRule="auto" w:line="288" w:before="120" w:after="120"/>
        <w:jc w:val="both"/>
        <w:rPr/>
      </w:pPr>
      <w:r>
        <w:rPr>
          <w:rFonts w:ascii="Times New Roman;serif" w:hAnsi="Times New Roman;serif"/>
          <w:b w:val="false"/>
          <w:color w:val="000000"/>
          <w:sz w:val="24"/>
        </w:rPr>
        <w:t xml:space="preserve">A new Offering Period will automatically begin approximately every six (6) months on the first Trading Day on or after February 28 and August 31 of each year. Each new Offering Period will be approximately twenty-four (24) months in duration and will consist of four (4) six-month Purchase Periods, ending on the first Trading Day on or after February 28 and August 31 of each year. Enrollment periods for each Offering Period generally begin on or about February 1 and August 1 each year and remain open until the first day of the respective Offering Period (the </w:t>
      </w:r>
      <w:r>
        <w:rPr>
          <w:color w:val="000000"/>
        </w:rPr>
        <w:t>“</w:t>
      </w:r>
      <w:r>
        <w:rPr>
          <w:rFonts w:ascii="Times New Roman;serif" w:hAnsi="Times New Roman;serif"/>
          <w:b w:val="false"/>
          <w:color w:val="000000"/>
          <w:sz w:val="24"/>
        </w:rPr>
        <w:t>Enrollment Period</w:t>
      </w:r>
      <w:r>
        <w:rPr>
          <w:color w:val="000000"/>
        </w:rPr>
        <w:t>”</w:t>
      </w:r>
      <w:r>
        <w:rPr>
          <w:rFonts w:ascii="Times New Roman;serif" w:hAnsi="Times New Roman;serif"/>
          <w:b w:val="false"/>
          <w:color w:val="000000"/>
          <w:sz w:val="24"/>
        </w:rPr>
        <w:t>). I may accept this offer at any time during an Enrollment Period.</w:t>
      </w:r>
    </w:p>
    <w:tbl>
      <w:tblPr>
        <w:tblW w:w="5940" w:type="dxa"/>
        <w:jc w:val="left"/>
        <w:tblInd w:w="0" w:type="dxa"/>
        <w:tblLayout w:type="fixed"/>
        <w:tblCellMar>
          <w:top w:w="28" w:type="dxa"/>
          <w:left w:w="28" w:type="dxa"/>
          <w:bottom w:w="28" w:type="dxa"/>
          <w:right w:w="28" w:type="dxa"/>
        </w:tblCellMar>
      </w:tblPr>
      <w:tblGrid>
        <w:gridCol w:w="1902"/>
        <w:gridCol w:w="1671"/>
        <w:gridCol w:w="2367"/>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2.    Acquisition of Options and Shares of Common Stock</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Since I may access this ESS offer document starting from the first day of each Enrollment Period and each Enrollment Period begins more than 14 days prior to start of the relevant Offering Period, I cannot acquire any options under the ESPP or shares of Common Stock until at least 14 days after receiving this ESS offer document.</w:t>
      </w:r>
    </w:p>
    <w:tbl>
      <w:tblPr>
        <w:tblW w:w="3659" w:type="dxa"/>
        <w:jc w:val="left"/>
        <w:tblInd w:w="0" w:type="dxa"/>
        <w:tblLayout w:type="fixed"/>
        <w:tblCellMar>
          <w:top w:w="28" w:type="dxa"/>
          <w:left w:w="28" w:type="dxa"/>
          <w:bottom w:w="28" w:type="dxa"/>
          <w:right w:w="28" w:type="dxa"/>
        </w:tblCellMar>
      </w:tblPr>
      <w:tblGrid>
        <w:gridCol w:w="1170"/>
        <w:gridCol w:w="1029"/>
        <w:gridCol w:w="1460"/>
      </w:tblGrid>
      <w:tr>
        <w:trPr/>
        <w:tc>
          <w:tcPr>
            <w:tcW w:w="117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3.    ESS Contribution Plan Terms</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The ESPP is an ESS contribution plan for the purposes of Division 1A. Accordingly, the following terms are included:</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(a)The ESPP allows Australian Participants to elect to have regular deductions made from Australian Participants’ wages or salary for the purpose of acquiring shares of Common Stock.</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(b)Before Australian Participants acquire any shares of Common Stock under this offer, any such deductions will be held on trust in an account with an Australian ADI that is kept solely for that purpose.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(c)Australian Participants may elect to discontinue the deductions at any time.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(d)If Australian Participants do so elect:</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(i)any deductions from Australian Participants’ wages or salary will cease, and any deductions made after the election will be repaid to Australian Participants, within 45 days of the election; and</w:t>
      </w:r>
    </w:p>
    <w:p>
      <w:pPr>
        <w:pStyle w:val="TextBody"/>
        <w:bidi w:val="0"/>
        <w:spacing w:lineRule="auto" w:line="288" w:before="120" w:after="120"/>
        <w:ind w:left="0" w:right="0" w:hanging="563"/>
        <w:jc w:val="both"/>
        <w:rPr>
          <w:rFonts w:ascii="Times New Roman;serif" w:hAnsi="Times New Roman;serif"/>
          <w:b w:val="false"/>
          <w:color w:val="000000"/>
          <w:sz w:val="24"/>
        </w:rPr>
      </w:pPr>
      <w:r>
        <w:rPr>
          <w:rFonts w:ascii="Times New Roman;serif" w:hAnsi="Times New Roman;serif"/>
          <w:b w:val="false"/>
          <w:color w:val="000000"/>
          <w:sz w:val="24"/>
        </w:rPr>
        <w:t>(ii)the amount of the deductions or payments standing, at the time when Australian Participants’ election is made, to the credit of the account for Australian Participants will be repaid to Australian Participants within 45 days of the election.</w:t>
      </w:r>
    </w:p>
    <w:p>
      <w:pPr>
        <w:pStyle w:val="TextBody"/>
        <w:bidi w:val="0"/>
        <w:spacing w:lineRule="auto" w:line="288" w:before="120" w:after="120"/>
        <w:ind w:left="0" w:right="0" w:hanging="518"/>
        <w:jc w:val="both"/>
        <w:rPr>
          <w:rFonts w:ascii="Times New Roman;serif" w:hAnsi="Times New Roman;serif"/>
          <w:b w:val="false"/>
          <w:color w:val="000000"/>
          <w:sz w:val="24"/>
        </w:rPr>
      </w:pPr>
      <w:r>
        <w:rPr>
          <w:rFonts w:ascii="Times New Roman;serif" w:hAnsi="Times New Roman;serif"/>
          <w:b w:val="false"/>
          <w:color w:val="000000"/>
          <w:sz w:val="24"/>
        </w:rPr>
        <w:t>(e)Australian Participants must agree in writing (which may be electronic) to the terms of the ESPP before participating in the ESPP.</w:t>
      </w:r>
    </w:p>
    <w:tbl>
      <w:tblPr>
        <w:tblW w:w="3524" w:type="dxa"/>
        <w:jc w:val="left"/>
        <w:tblInd w:w="0" w:type="dxa"/>
        <w:tblLayout w:type="fixed"/>
        <w:tblCellMar>
          <w:top w:w="28" w:type="dxa"/>
          <w:left w:w="28" w:type="dxa"/>
          <w:bottom w:w="28" w:type="dxa"/>
          <w:right w:w="28" w:type="dxa"/>
        </w:tblCellMar>
      </w:tblPr>
      <w:tblGrid>
        <w:gridCol w:w="1127"/>
        <w:gridCol w:w="991"/>
        <w:gridCol w:w="1406"/>
      </w:tblGrid>
      <w:tr>
        <w:trPr/>
        <w:tc>
          <w:tcPr>
            <w:tcW w:w="112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left w:val="single" w:sz="4" w:space="0" w:color="000000"/>
              <w:bottom w:val="single" w:sz="4" w:space="0" w:color="000000"/>
              <w:right w:val="single" w:sz="4" w:space="0" w:color="000000"/>
            </w:tcBorders>
            <w:shd w:fill="A6A6A6" w:val="clear"/>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4.    Terms Relating to Disclosure</w:t>
            </w:r>
          </w:p>
        </w:tc>
      </w:tr>
    </w:tbl>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This offer is also subject to the following terms relating to disclosure: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(a)this ESS offer document and the terms of the offer:</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(i)must not include a misleading or deceptive statement; and</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(ii)must not omit any information that would result in this document or terms of the offer being misleading or deceptive;</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(b)the Company must provide Australian Participants with an updated ESS offer document as soon as practicable after becoming aware that the document that was provided has become out of date, or is otherwise not correct, in a material respect;</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(c)each person mentioned in items (ii), (iii) and (iv) of the table below must notify, in writing, the Company as soon as practicable if, during the Enrollment Period, the person becomes aware that:</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(i)a material statement in the documents mentioned in paragraph (a) is misleading or deceptive; or</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(ii)information was omitted from any of those documents that has resulted in one or more of those documents being misleading or deceptive; or</w:t>
      </w:r>
    </w:p>
    <w:p>
      <w:pPr>
        <w:pStyle w:val="TextBody"/>
        <w:bidi w:val="0"/>
        <w:spacing w:lineRule="auto" w:line="288" w:before="0" w:after="0"/>
        <w:ind w:left="0" w:right="0" w:hanging="629"/>
        <w:jc w:val="left"/>
        <w:rPr>
          <w:rFonts w:ascii="Times New Roman;serif" w:hAnsi="Times New Roman;serif"/>
          <w:b w:val="false"/>
          <w:color w:val="000000"/>
          <w:sz w:val="24"/>
        </w:rPr>
      </w:pPr>
      <w:r>
        <w:rPr>
          <w:rFonts w:ascii="Times New Roman;serif" w:hAnsi="Times New Roman;serif"/>
          <w:b w:val="false"/>
          <w:color w:val="000000"/>
          <w:sz w:val="24"/>
        </w:rPr>
        <w:t>(iii)a new circumstance has arisen during the Enrollment Period which means the ESS offer document is out of date, or otherwise not correct, in a material respect; and</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(d)if Australian Participants suffer loss or damage because of a contravention of a term of the offer covered by paragraph (a), (b) or (c) above, Australian Participants can recover the amount of loss or damage in accordance with the table below.</w:t>
      </w:r>
    </w:p>
    <w:p>
      <w:pPr>
        <w:pStyle w:val="TextBody"/>
        <w:bidi w:val="0"/>
        <w:spacing w:lineRule="auto" w:line="288" w:before="120" w:after="120"/>
        <w:jc w:val="left"/>
        <w:rPr>
          <w:rFonts w:ascii="Times New Roman;serif" w:hAnsi="Times New Roman;serif"/>
          <w:b w:val="false"/>
          <w:color w:val="000000"/>
          <w:sz w:val="24"/>
        </w:rPr>
      </w:pPr>
      <w:r>
        <w:rPr>
          <w:rFonts w:ascii="Times New Roman;serif" w:hAnsi="Times New Roman;serif"/>
          <w:b w:val="false"/>
          <w:color w:val="000000"/>
          <w:sz w:val="24"/>
        </w:rPr>
        <w:t>For the purposes of paragraph (d) above, Australian Participants must be able to recover loss or damage in accordance with the following table:</w:t>
      </w:r>
    </w:p>
    <w:tbl>
      <w:tblPr>
        <w:tblW w:w="10205" w:type="dxa"/>
        <w:jc w:val="left"/>
        <w:tblInd w:w="0" w:type="dxa"/>
        <w:tblLayout w:type="fixed"/>
        <w:tblCellMar>
          <w:top w:w="28" w:type="dxa"/>
          <w:left w:w="28" w:type="dxa"/>
          <w:bottom w:w="28" w:type="dxa"/>
          <w:right w:w="28" w:type="dxa"/>
        </w:tblCellMar>
      </w:tblPr>
      <w:tblGrid>
        <w:gridCol w:w="217"/>
        <w:gridCol w:w="191"/>
        <w:gridCol w:w="192"/>
        <w:gridCol w:w="1654"/>
        <w:gridCol w:w="1654"/>
        <w:gridCol w:w="1657"/>
        <w:gridCol w:w="1535"/>
        <w:gridCol w:w="1283"/>
        <w:gridCol w:w="1822"/>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op w:val="single" w:sz="8" w:space="0" w:color="A5A5A5"/>
              <w:left w:val="single" w:sz="8" w:space="0" w:color="A5A5A5"/>
            </w:tcBorders>
            <w:shd w:fill="A5A5A5" w:val="clear"/>
            <w:tcMar>
              <w:top w:w="30" w:type="dxa"/>
              <w:bottom w:w="0" w:type="dxa"/>
              <w:right w:w="0" w:type="dxa"/>
            </w:tcMar>
            <w:vAlign w:val="center"/>
          </w:tcPr>
          <w:p>
            <w:pPr>
              <w:pStyle w:val="TableContents"/>
              <w:bidi w:val="0"/>
              <w:spacing w:lineRule="auto" w:line="268" w:before="0" w:after="283"/>
              <w:ind w:left="0" w:right="0" w:firstLine="14"/>
              <w:jc w:val="left"/>
              <w:rPr>
                <w:rFonts w:ascii="Times New Roman;serif" w:hAnsi="Times New Roman;serif"/>
                <w:b/>
                <w:color w:val="000000"/>
                <w:sz w:val="24"/>
              </w:rPr>
            </w:pPr>
            <w:r>
              <w:rPr>
                <w:rFonts w:ascii="Times New Roman;serif" w:hAnsi="Times New Roman;serif"/>
                <w:b/>
                <w:color w:val="000000"/>
                <w:sz w:val="24"/>
              </w:rPr>
              <w:t>Item</w:t>
            </w:r>
          </w:p>
        </w:tc>
        <w:tc>
          <w:tcPr>
            <w:tcW w:w="4965" w:type="dxa"/>
            <w:gridSpan w:val="3"/>
            <w:tcBorders>
              <w:top w:val="single" w:sz="8" w:space="0" w:color="A5A5A5"/>
            </w:tcBorders>
            <w:shd w:fill="A5A5A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Australian Participants may recover loss or damage suffered as a result of a contravention of</w:t>
            </w:r>
          </w:p>
        </w:tc>
        <w:tc>
          <w:tcPr>
            <w:tcW w:w="4640" w:type="dxa"/>
            <w:gridSpan w:val="3"/>
            <w:tcBorders>
              <w:top w:val="single" w:sz="8" w:space="0" w:color="A5A5A5"/>
              <w:left w:val="single" w:sz="8" w:space="0" w:color="A5A5A5"/>
              <w:right w:val="single" w:sz="8" w:space="0" w:color="A5A5A5"/>
            </w:tcBorders>
            <w:shd w:fill="A5A5A5" w:val="clear"/>
            <w:tcMar>
              <w:top w:w="30" w:type="dxa"/>
              <w:bottom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from these people...</w:t>
            </w:r>
          </w:p>
        </w:tc>
      </w:tr>
      <w:tr>
        <w:trPr/>
        <w:tc>
          <w:tcPr>
            <w:tcW w:w="600" w:type="dxa"/>
            <w:gridSpan w:val="3"/>
            <w:tcBorders>
              <w:top w:val="single" w:sz="8" w:space="0" w:color="A5A5A5"/>
              <w:left w:val="single" w:sz="8" w:space="0" w:color="C9C9C9"/>
            </w:tcBorders>
            <w:shd w:fill="EDEDED" w:val="clear"/>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w:t>
            </w:r>
          </w:p>
        </w:tc>
        <w:tc>
          <w:tcPr>
            <w:tcW w:w="4965" w:type="dxa"/>
            <w:gridSpan w:val="3"/>
            <w:tcBorders>
              <w:top w:val="single" w:sz="8" w:space="0" w:color="A5A5A5"/>
              <w:left w:val="single" w:sz="8" w:space="0" w:color="C9C9C9"/>
            </w:tcBorders>
            <w:shd w:fill="EDEDED"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A5A5A5"/>
              <w:left w:val="single" w:sz="8" w:space="0" w:color="C9C9C9"/>
              <w:right w:val="single" w:sz="8" w:space="0" w:color="C9C9C9"/>
            </w:tcBorders>
            <w:shd w:fill="EDEDED" w:val="clear"/>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Company</w:t>
            </w:r>
          </w:p>
        </w:tc>
      </w:tr>
      <w:tr>
        <w:trPr/>
        <w:tc>
          <w:tcPr>
            <w:tcW w:w="600"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ii)</w:t>
            </w:r>
          </w:p>
        </w:tc>
        <w:tc>
          <w:tcPr>
            <w:tcW w:w="4965"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C9C9C9"/>
              <w:left w:val="single" w:sz="8" w:space="0" w:color="C9C9C9"/>
              <w:right w:val="single" w:sz="8" w:space="0" w:color="C9C9C9"/>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each director of the Company</w:t>
            </w:r>
          </w:p>
        </w:tc>
      </w:tr>
      <w:tr>
        <w:trPr/>
        <w:tc>
          <w:tcPr>
            <w:tcW w:w="600"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iii)</w:t>
            </w:r>
          </w:p>
        </w:tc>
        <w:tc>
          <w:tcPr>
            <w:tcW w:w="4965"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any of the following paragraphs: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(a) (misleading or deceptive statements and omissions);</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paragraph (b) (out of date ESS offer document)</w:t>
            </w:r>
          </w:p>
        </w:tc>
        <w:tc>
          <w:tcPr>
            <w:tcW w:w="4640" w:type="dxa"/>
            <w:gridSpan w:val="3"/>
            <w:tcBorders>
              <w:top w:val="single" w:sz="8" w:space="0" w:color="C9C9C9"/>
              <w:left w:val="single" w:sz="8" w:space="0" w:color="C9C9C9"/>
              <w:bottom w:val="single" w:sz="8" w:space="0" w:color="C9C9C9"/>
              <w:right w:val="single" w:sz="8" w:space="0" w:color="C9C9C9"/>
            </w:tcBorders>
            <w:shd w:fill="EDEDED"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person named, with their consent, in an ESS offer document or the terms of the offer as a proposed director of the Company</w:t>
            </w:r>
          </w:p>
        </w:tc>
      </w:tr>
      <w:tr>
        <w:trPr/>
        <w:tc>
          <w:tcPr>
            <w:tcW w:w="600"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iv)</w:t>
            </w:r>
          </w:p>
        </w:tc>
        <w:tc>
          <w:tcPr>
            <w:tcW w:w="4965" w:type="dxa"/>
            <w:gridSpan w:val="3"/>
            <w:tcBorders>
              <w:top w:val="single" w:sz="8" w:space="0" w:color="C9C9C9"/>
              <w:left w:val="single" w:sz="8" w:space="0" w:color="C9C9C9"/>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paragraph (a) (misleading or deceptive statements and omissions)</w:t>
            </w:r>
          </w:p>
        </w:tc>
        <w:tc>
          <w:tcPr>
            <w:tcW w:w="4640" w:type="dxa"/>
            <w:gridSpan w:val="3"/>
            <w:tcBorders>
              <w:top w:val="single" w:sz="8" w:space="0" w:color="C9C9C9"/>
              <w:left w:val="single" w:sz="8" w:space="0" w:color="C9C9C9"/>
              <w:right w:val="single" w:sz="8" w:space="0" w:color="C9C9C9"/>
            </w:tcBorders>
            <w:tcMar>
              <w:top w:w="30" w:type="dxa"/>
              <w:bottom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 person named, with their consent, in the ESS offer document or the terms of the offer as having made:</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the misleading or deceptive statement; or</w:t>
            </w:r>
          </w:p>
          <w:p>
            <w:pPr>
              <w:pStyle w:val="TableContents"/>
              <w:bidi w:val="0"/>
              <w:spacing w:lineRule="auto" w:line="268" w:before="0" w:after="0"/>
              <w:ind w:left="0" w:right="0" w:hanging="360"/>
              <w:jc w:val="left"/>
              <w:rPr/>
            </w:pPr>
            <w:r>
              <w:rPr>
                <w:color w:val="000000"/>
              </w:rPr>
              <w:t>•</w:t>
            </w:r>
            <w:r>
              <w:rPr>
                <w:rFonts w:ascii="Times New Roman;serif" w:hAnsi="Times New Roman;serif"/>
                <w:b w:val="false"/>
                <w:color w:val="000000"/>
                <w:sz w:val="24"/>
              </w:rPr>
              <w:t>a statement on which the misleading or deceptive statement is based</w:t>
            </w:r>
          </w:p>
        </w:tc>
      </w:tr>
      <w:tr>
        <w:trPr/>
        <w:tc>
          <w:tcPr>
            <w:tcW w:w="600"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4"/>
              </w:rPr>
            </w:pPr>
            <w:r>
              <w:rPr>
                <w:rFonts w:ascii="Times New Roman;serif" w:hAnsi="Times New Roman;serif"/>
                <w:b/>
                <w:color w:val="000000"/>
                <w:sz w:val="24"/>
              </w:rPr>
              <w:t>v)</w:t>
            </w:r>
          </w:p>
        </w:tc>
        <w:tc>
          <w:tcPr>
            <w:tcW w:w="4965" w:type="dxa"/>
            <w:gridSpan w:val="3"/>
            <w:tcBorders>
              <w:top w:val="single" w:sz="8" w:space="0" w:color="C9C9C9"/>
              <w:left w:val="single" w:sz="8" w:space="0" w:color="C9C9C9"/>
              <w:bottom w:val="single" w:sz="8" w:space="0" w:color="C9C9C9"/>
            </w:tcBorders>
            <w:shd w:fill="EDEDED"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 term of the offer covered by paragraph (c) (failure to notify the Company of misleading or deceptive statement and omissions or new circumstances)</w:t>
            </w:r>
          </w:p>
        </w:tc>
        <w:tc>
          <w:tcPr>
            <w:tcW w:w="4640" w:type="dxa"/>
            <w:gridSpan w:val="3"/>
            <w:tcBorders>
              <w:top w:val="single" w:sz="8" w:space="0" w:color="C9C9C9"/>
              <w:left w:val="single" w:sz="8" w:space="0" w:color="C9C9C9"/>
              <w:bottom w:val="single" w:sz="8" w:space="0" w:color="C9C9C9"/>
              <w:right w:val="single" w:sz="8" w:space="0" w:color="C9C9C9"/>
            </w:tcBorders>
            <w:shd w:fill="EDEDED" w:val="clear"/>
            <w:tcMar>
              <w:top w:w="30"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the person mentioned in item (ii), (iii) or (iv) of this table who failed to notify the Company in accordance with the term covered by paragraph (c)</w:t>
            </w:r>
          </w:p>
        </w:tc>
      </w:tr>
    </w:tbl>
    <w:tbl>
      <w:tblPr>
        <w:tblW w:w="3134" w:type="dxa"/>
        <w:jc w:val="left"/>
        <w:tblInd w:w="0" w:type="dxa"/>
        <w:tblLayout w:type="fixed"/>
        <w:tblCellMar>
          <w:top w:w="28" w:type="dxa"/>
          <w:left w:w="28" w:type="dxa"/>
          <w:bottom w:w="28" w:type="dxa"/>
          <w:right w:w="28" w:type="dxa"/>
        </w:tblCellMar>
      </w:tblPr>
      <w:tblGrid>
        <w:gridCol w:w="1004"/>
        <w:gridCol w:w="882"/>
        <w:gridCol w:w="1248"/>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4" w:space="0" w:color="000000"/>
              <w:left w:val="single" w:sz="4" w:space="0" w:color="000000"/>
              <w:bottom w:val="single" w:sz="4" w:space="0" w:color="000000"/>
              <w:right w:val="single" w:sz="4" w:space="0" w:color="000000"/>
            </w:tcBorders>
            <w:shd w:fill="A6A6A6" w:val="clear"/>
            <w:tcMar>
              <w:top w:w="30" w:type="dxa"/>
              <w:bottom w:w="30" w:type="dxa"/>
            </w:tcMar>
            <w:vAlign w:val="center"/>
          </w:tcPr>
          <w:p>
            <w:pPr>
              <w:pStyle w:val="TableContents"/>
              <w:bidi w:val="0"/>
              <w:spacing w:lineRule="auto" w:line="288" w:before="0" w:after="0"/>
              <w:ind w:left="0" w:right="0" w:hanging="4"/>
              <w:jc w:val="left"/>
              <w:rPr>
                <w:rFonts w:ascii="Times New Roman;serif" w:hAnsi="Times New Roman;serif"/>
                <w:b/>
                <w:color w:val="000000"/>
                <w:sz w:val="24"/>
              </w:rPr>
            </w:pPr>
            <w:r>
              <w:rPr>
                <w:rFonts w:ascii="Times New Roman;serif" w:hAnsi="Times New Roman;serif"/>
                <w:b/>
                <w:color w:val="000000"/>
                <w:sz w:val="24"/>
              </w:rPr>
              <w:t>5.    Exclusions from Liability</w:t>
            </w:r>
          </w:p>
        </w:tc>
      </w:tr>
    </w:tbl>
    <w:p>
      <w:pPr>
        <w:pStyle w:val="TextBody"/>
        <w:bidi w:val="0"/>
        <w:spacing w:lineRule="auto" w:line="288" w:before="120" w:after="120"/>
        <w:ind w:left="0" w:right="0" w:hanging="4"/>
        <w:jc w:val="left"/>
        <w:rPr>
          <w:rFonts w:ascii="Times New Roman;serif" w:hAnsi="Times New Roman;serif"/>
          <w:b w:val="false"/>
          <w:color w:val="000000"/>
          <w:sz w:val="24"/>
        </w:rPr>
      </w:pPr>
      <w:r>
        <w:rPr>
          <w:rFonts w:ascii="Times New Roman;serif" w:hAnsi="Times New Roman;serif"/>
          <w:b w:val="false"/>
          <w:color w:val="000000"/>
          <w:sz w:val="24"/>
        </w:rPr>
        <w:t>A person mentioned in the table in section 4 above is not liable for any loss or damage suffered by Australian Participants because of a contravention of a term of the offer covered by paragraph (a) or (b) of section 4 above if:</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(a)the person:</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(i)made all inquiries (if any) that were reasonable in the circumstances; and</w:t>
      </w:r>
    </w:p>
    <w:p>
      <w:pPr>
        <w:pStyle w:val="TextBody"/>
        <w:bidi w:val="0"/>
        <w:spacing w:lineRule="auto" w:line="288" w:before="0" w:after="0"/>
        <w:ind w:left="0" w:right="0" w:hanging="563"/>
        <w:jc w:val="left"/>
        <w:rPr>
          <w:rFonts w:ascii="Times New Roman;serif" w:hAnsi="Times New Roman;serif"/>
          <w:b w:val="false"/>
          <w:color w:val="000000"/>
          <w:sz w:val="24"/>
        </w:rPr>
      </w:pPr>
      <w:r>
        <w:rPr>
          <w:rFonts w:ascii="Times New Roman;serif" w:hAnsi="Times New Roman;serif"/>
          <w:b w:val="false"/>
          <w:color w:val="000000"/>
          <w:sz w:val="24"/>
        </w:rPr>
        <w:t>(ii)after doing so, believed on reasonable grounds that the statement was not misleading or deceptive;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(b)the person did not know that the statement was misleading or deceptive; or</w:t>
      </w:r>
    </w:p>
    <w:p>
      <w:pPr>
        <w:pStyle w:val="TextBody"/>
        <w:bidi w:val="0"/>
        <w:spacing w:lineRule="auto" w:line="288" w:before="0" w:after="0"/>
        <w:ind w:left="0" w:right="0" w:hanging="567"/>
        <w:jc w:val="left"/>
        <w:rPr>
          <w:rFonts w:ascii="Times New Roman;serif" w:hAnsi="Times New Roman;serif"/>
          <w:b w:val="false"/>
          <w:color w:val="000000"/>
          <w:sz w:val="24"/>
        </w:rPr>
      </w:pPr>
      <w:r>
        <w:rPr>
          <w:rFonts w:ascii="Times New Roman;serif" w:hAnsi="Times New Roman;serif"/>
          <w:b w:val="false"/>
          <w:color w:val="000000"/>
          <w:sz w:val="24"/>
        </w:rPr>
        <w:t>(c)the person placed reasonable reliance on information given to the person by:</w:t>
      </w:r>
    </w:p>
    <w:p>
      <w:pPr>
        <w:pStyle w:val="TextBody"/>
        <w:bidi w:val="0"/>
        <w:spacing w:lineRule="auto" w:line="288" w:before="120" w:after="120"/>
        <w:ind w:left="0" w:right="0" w:hanging="496"/>
        <w:jc w:val="both"/>
        <w:rPr>
          <w:rFonts w:ascii="Times New Roman;serif" w:hAnsi="Times New Roman;serif"/>
          <w:b w:val="false"/>
          <w:color w:val="000000"/>
          <w:sz w:val="24"/>
        </w:rPr>
      </w:pPr>
      <w:r>
        <w:rPr>
          <w:rFonts w:ascii="Times New Roman;serif" w:hAnsi="Times New Roman;serif"/>
          <w:b w:val="false"/>
          <w:color w:val="000000"/>
          <w:sz w:val="24"/>
        </w:rPr>
        <w:t>(i)if the person is a body corporate or a responsible entity of a registered scheme—someone other than a director, employee or agent of the body corporate or responsible entity; or</w:t>
      </w:r>
    </w:p>
    <w:p>
      <w:pPr>
        <w:pStyle w:val="TextBody"/>
        <w:bidi w:val="0"/>
        <w:spacing w:lineRule="auto" w:line="288" w:before="120" w:after="120"/>
        <w:ind w:left="0" w:right="0" w:hanging="563"/>
        <w:jc w:val="both"/>
        <w:rPr>
          <w:rFonts w:ascii="Times New Roman;serif" w:hAnsi="Times New Roman;serif"/>
          <w:b w:val="false"/>
          <w:color w:val="000000"/>
          <w:sz w:val="24"/>
        </w:rPr>
      </w:pPr>
      <w:r>
        <w:rPr>
          <w:rFonts w:ascii="Times New Roman;serif" w:hAnsi="Times New Roman;serif"/>
          <w:b w:val="false"/>
          <w:color w:val="000000"/>
          <w:sz w:val="24"/>
        </w:rPr>
        <w:t>(ii)if the person is an individual—someone other than an employee or agent of the individual;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(d)for a person mentioned in column 2 of item (iii) or (iv) of the table in section 4 above—the person proves that they publicly withdrew their consent to being named in the document in that way; or</w:t>
      </w:r>
    </w:p>
    <w:p>
      <w:pPr>
        <w:pStyle w:val="TextBody"/>
        <w:bidi w:val="0"/>
        <w:spacing w:lineRule="auto" w:line="288" w:before="120" w:after="120"/>
        <w:ind w:left="0" w:right="0" w:hanging="567"/>
        <w:jc w:val="both"/>
        <w:rPr>
          <w:rFonts w:ascii="Times New Roman;serif" w:hAnsi="Times New Roman;serif"/>
          <w:b w:val="false"/>
          <w:color w:val="000000"/>
          <w:sz w:val="24"/>
        </w:rPr>
      </w:pPr>
      <w:r>
        <w:rPr>
          <w:rFonts w:ascii="Times New Roman;serif" w:hAnsi="Times New Roman;serif"/>
          <w:b w:val="false"/>
          <w:color w:val="000000"/>
          <w:sz w:val="24"/>
        </w:rPr>
        <w:t>(e)the contravention arose because of a new circumstance that has arisen since the ESS offer document was prepared and the person proves that they were not aware of the matter.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AUSTRIA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 xml:space="preserve">Interest Waiver. </w:t>
      </w:r>
      <w:r>
        <w:rPr>
          <w:rFonts w:ascii="Times New Roman;serif" w:hAnsi="Times New Roman;serif"/>
          <w:b w:val="false"/>
          <w:color w:val="000000"/>
          <w:sz w:val="24"/>
        </w:rPr>
        <w:t>By enrolling in the ESPP and accepting the terms of the Agreement, I unambiguously consent to waive my right to any interest with respect to payroll deductions accumulated for me during an Offering Period.</w:t>
      </w:r>
    </w:p>
    <w:p>
      <w:pPr>
        <w:pStyle w:val="TextBody"/>
        <w:bidi w:val="0"/>
        <w:spacing w:lineRule="auto" w:line="288" w:before="240" w:after="240"/>
        <w:jc w:val="both"/>
        <w:rPr/>
      </w:pPr>
      <w:r>
        <w:rPr>
          <w:rFonts w:ascii="Times New Roman;serif" w:hAnsi="Times New Roman;serif"/>
          <w:b/>
          <w:color w:val="000000"/>
          <w:sz w:val="24"/>
        </w:rPr>
        <w:t>Amount of Contribution</w:t>
      </w:r>
      <w:r>
        <w:rPr>
          <w:rFonts w:ascii="Times New Roman;serif" w:hAnsi="Times New Roman;serif"/>
          <w:b w:val="false"/>
          <w:color w:val="000000"/>
          <w:sz w:val="24"/>
        </w:rPr>
        <w:t>. My individual payroll deductions are subject to compliance with the minimum salary and minimum subsistence level provisions under Applicable Laws in Austria. The Company and/or the Employer, at their discretion, may limit the amount of my payroll deductions to comply with such requirements.</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Austria. The Information Document is attached hereto as Exhibit C.</w:t>
      </w:r>
    </w:p>
    <w:p>
      <w:pPr>
        <w:pStyle w:val="TextBody"/>
        <w:bidi w:val="0"/>
        <w:spacing w:lineRule="auto" w:line="288" w:before="240" w:after="240"/>
        <w:jc w:val="both"/>
        <w:rPr/>
      </w:pPr>
      <w:r>
        <w:rPr>
          <w:rFonts w:ascii="Times New Roman;serif" w:hAnsi="Times New Roman;serif"/>
          <w:b/>
          <w:color w:val="000000"/>
          <w:sz w:val="24"/>
        </w:rPr>
        <w:t xml:space="preserve">Exchange Control Information. </w:t>
      </w:r>
      <w:r>
        <w:rPr>
          <w:rFonts w:ascii="Times New Roman;serif" w:hAnsi="Times New Roman;serif"/>
          <w:b w:val="false"/>
          <w:color w:val="000000"/>
          <w:sz w:val="24"/>
        </w:rPr>
        <w:t xml:space="preserve">If I hold securities (including shares of Common Stock acquired under the ESPP outside Austria, even if I hold them outside of Austria with an Austrian bank) or cash (including proceeds from the sales of shares of Common Stock), I understand I must submit quarterly reports to the Austrian National Bank. An exemption applies if the value of the shares held outside Austria of any quarter does not exceed a certain threshold (currently €5,000,000). The deadline for filing the quarterly report is the 15th of the month following the end of the respective quarter.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I sell shares of Common Stock or receive any cash dividends, there may be exchange control obligations if the cash received is held outside Austria, as a separate reporting requirement applies to any non-Austrian cash accounts. If the transaction volume of all of my cash accounts abroad exceeds a certain threshold (currently €10,000,000), the movements and the balance of all accounts must be reported monthly, as of the last day of the month, on or before the 15th day of the following month, on the prescribed forms. </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BELGIUM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to Remit Eligible Cash Earnings</w:t>
      </w:r>
      <w:r>
        <w:rPr>
          <w:rFonts w:ascii="Times New Roman;serif" w:hAnsi="Times New Roman;serif"/>
          <w:b w:val="false"/>
          <w:color w:val="000000"/>
          <w:sz w:val="24"/>
        </w:rPr>
        <w:t>. For Belgian law purposes, I understand that “payroll deductions” means a specific instruction to the Employer to pay out part of my Compensation (as indicated in the Agreement) in order to fund the Purchase Price for the shares of Common Stock, in accordance with the terms and conditions of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 acknowledge and understand that if I am a Belgian resident, I am required to complete a report providing the National Bank of Belgium with details regarding any securities or bank accounts held outside Belgium, including the account number, the name of the bank in which such account is held and the country in which the account is located. This report, as well as information on how to complete it, can be found on the website of the National Bank of Belgium, </w:t>
      </w:r>
      <w:r>
        <w:rPr>
          <w:rFonts w:ascii="Times New Roman;serif" w:hAnsi="Times New Roman;serif"/>
          <w:b w:val="false"/>
          <w:color w:val="000000"/>
          <w:sz w:val="24"/>
          <w:u w:val="single"/>
        </w:rPr>
        <w:t>www.nbb.be</w:t>
      </w:r>
      <w:r>
        <w:rPr>
          <w:rFonts w:ascii="Times New Roman;serif" w:hAnsi="Times New Roman;serif"/>
          <w:b w:val="false"/>
          <w:color w:val="000000"/>
          <w:sz w:val="24"/>
        </w:rPr>
        <w:t xml:space="preserve">, under the </w:t>
      </w:r>
      <w:r>
        <w:rPr>
          <w:rFonts w:ascii="Times New Roman;serif" w:hAnsi="Times New Roman;serif"/>
          <w:b w:val="false"/>
          <w:i/>
          <w:color w:val="000000"/>
          <w:sz w:val="24"/>
        </w:rPr>
        <w:t>Kredietcentrales / Centrales des credits</w:t>
      </w:r>
      <w:r>
        <w:rPr>
          <w:color w:val="000000"/>
        </w:rPr>
        <w:t xml:space="preserve"> </w:t>
      </w:r>
      <w:r>
        <w:rPr>
          <w:rFonts w:ascii="Times New Roman;serif" w:hAnsi="Times New Roman;serif"/>
          <w:b w:val="false"/>
          <w:color w:val="000000"/>
          <w:sz w:val="24"/>
        </w:rPr>
        <w:t>caption.</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BRAZIL</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Transmission of Funds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agree to execute a letter of authorization and any other agreements or consents that may be required to enable the Company, any Subsidiary or Affiliate or the Employer to remit accumulated payroll deductions from Brazil to the United States for the purchase of shares of Common Stock. I understand that if I fail to execute the letter of authorization or any other agreements or consents that may be required for the remittance of payroll deductions, I will not be able to participate in the ESPP.</w:t>
      </w:r>
    </w:p>
    <w:p>
      <w:pPr>
        <w:pStyle w:val="TextBody"/>
        <w:bidi w:val="0"/>
        <w:spacing w:lineRule="auto" w:line="288" w:before="240" w:after="240"/>
        <w:jc w:val="both"/>
        <w:rPr/>
      </w:pPr>
      <w:r>
        <w:rPr>
          <w:rFonts w:ascii="Times New Roman;serif" w:hAnsi="Times New Roman;serif"/>
          <w:b/>
          <w:color w:val="000000"/>
          <w:sz w:val="24"/>
        </w:rPr>
        <w:t>Compliance with Law</w:t>
      </w:r>
      <w:r>
        <w:rPr>
          <w:rFonts w:ascii="Times New Roman;serif" w:hAnsi="Times New Roman;serif"/>
          <w:b w:val="false"/>
          <w:color w:val="000000"/>
          <w:sz w:val="24"/>
        </w:rPr>
        <w:t>. By enrolling in the ESPP and accepting the terms of this Agreement, I acknowledge and agree to comply with all applicable Brazilian laws and pay any and all Tax-Related Items associated with the purchase and sale of shares of Common Stock acquired pursuant to the ESPP and the receipt of any dividends paid on such shares.</w:t>
      </w:r>
    </w:p>
    <w:p>
      <w:pPr>
        <w:pStyle w:val="TextBody"/>
        <w:bidi w:val="0"/>
        <w:spacing w:lineRule="auto" w:line="288" w:before="240" w:after="240"/>
        <w:jc w:val="both"/>
        <w:rPr/>
      </w:pPr>
      <w:r>
        <w:rPr>
          <w:rFonts w:ascii="Times New Roman;serif" w:hAnsi="Times New Roman;serif"/>
          <w:b/>
          <w:color w:val="000000"/>
          <w:sz w:val="24"/>
        </w:rPr>
        <w:t>Nature of Grant</w:t>
      </w:r>
      <w:r>
        <w:rPr>
          <w:rFonts w:ascii="Times New Roman;serif" w:hAnsi="Times New Roman;serif"/>
          <w:b w:val="false"/>
          <w:color w:val="000000"/>
          <w:sz w:val="24"/>
        </w:rPr>
        <w:t>. The following provision supplements Section 5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By enrolling and participating in the ESPP, I agree that (i) I am making an investment decision and (ii) the value of the shares of Common Stock is not fixed and may increase or decrease without compensation to me.</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I am a resident or domiciled in Brazil, I will be required to submit an annual or quarterly declaration of assets and rights held outside of Brazil to the Central Bank of Brazil if the aggregate value of such assets and rights is equal to or greater than a certain threshold (currently US$1,000,000). Assets and rights that must be reported include shares of Common Stock acquired pursuant to the ESPP.</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BULGARIA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will be required to file statistical forms with the Bulgarian National Bank annually regarding my receivables in bank accounts abroad as well as securities held abroad (</w:t>
      </w:r>
      <w:r>
        <w:rPr>
          <w:rFonts w:ascii="Times New Roman;serif" w:hAnsi="Times New Roman;serif"/>
          <w:b w:val="false"/>
          <w:i/>
          <w:color w:val="000000"/>
          <w:sz w:val="24"/>
        </w:rPr>
        <w:t>e.g.</w:t>
      </w:r>
      <w:r>
        <w:rPr>
          <w:rFonts w:ascii="Times New Roman;serif" w:hAnsi="Times New Roman;serif"/>
          <w:b w:val="false"/>
          <w:color w:val="000000"/>
          <w:sz w:val="24"/>
        </w:rPr>
        <w:t>, shares of Common Stock acquired under the ESPP) if the total sum of all such receivables and securities equals or exceeds a certain threshold (currently BGN 50,000) as of the previous calendar year-end.  The reports are due by March 31. I should contact my bank in Bulgaria for additional information regarding these requirements.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CANADA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76" w:before="0" w:after="0"/>
        <w:jc w:val="both"/>
        <w:rPr/>
      </w:pPr>
      <w:r>
        <w:rPr>
          <w:rFonts w:ascii="Times New Roman;serif" w:hAnsi="Times New Roman;serif"/>
          <w:b/>
          <w:color w:val="000000"/>
          <w:sz w:val="24"/>
        </w:rPr>
        <w:t xml:space="preserve">Exclusion from Compensation or Salary. </w:t>
      </w:r>
      <w:r>
        <w:rPr>
          <w:rFonts w:ascii="Times New Roman;serif" w:hAnsi="Times New Roman;serif"/>
          <w:b w:val="false"/>
          <w:color w:val="000000"/>
          <w:sz w:val="24"/>
        </w:rPr>
        <w:t>This provision replaces Section 5(g) of the Global Subscription Agreement:</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except as explicitly and minimally required under applicable legislation, 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w:t>
      </w:r>
    </w:p>
    <w:p>
      <w:pPr>
        <w:pStyle w:val="TextBody"/>
        <w:bidi w:val="0"/>
        <w:spacing w:lineRule="auto" w:line="288" w:before="240" w:after="240"/>
        <w:jc w:val="both"/>
        <w:rPr/>
      </w:pPr>
      <w:r>
        <w:rPr>
          <w:rFonts w:ascii="Times New Roman;serif" w:hAnsi="Times New Roman;serif"/>
          <w:b/>
          <w:color w:val="000000"/>
          <w:sz w:val="24"/>
        </w:rPr>
        <w:t xml:space="preserve">No Compensation for Forfeiture and/or Recoupment. </w:t>
      </w:r>
      <w:r>
        <w:rPr>
          <w:rFonts w:ascii="Times New Roman;serif" w:hAnsi="Times New Roman;serif"/>
          <w:b w:val="false"/>
          <w:color w:val="000000"/>
          <w:sz w:val="24"/>
        </w:rPr>
        <w:t>This provision replaces Section 5(j)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except as explicitly and minimally required under applicable legislation, no claim or entitlement to compensation or damages shall arise from forfeiture of the option to purchase shares of Common Stock under the ESPP resulting from termination of my employment (for any reason whatsoever, whether or not later found to be invalid or in breach of Applicable Laws in the jurisdiction where I am employed or the terms of my employment agreement, if any);</w:t>
      </w:r>
    </w:p>
    <w:p>
      <w:pPr>
        <w:pStyle w:val="TextBody"/>
        <w:bidi w:val="0"/>
        <w:spacing w:lineRule="auto" w:line="276" w:before="0" w:after="0"/>
        <w:jc w:val="both"/>
        <w:rPr/>
      </w:pPr>
      <w:r>
        <w:rPr>
          <w:rFonts w:ascii="Times New Roman;serif" w:hAnsi="Times New Roman;serif"/>
          <w:b/>
          <w:color w:val="000000"/>
          <w:sz w:val="24"/>
        </w:rPr>
        <w:t>Termination of Service</w:t>
      </w:r>
      <w:r>
        <w:rPr>
          <w:rFonts w:ascii="Times New Roman;serif" w:hAnsi="Times New Roman;serif"/>
          <w:b w:val="false"/>
          <w:color w:val="000000"/>
          <w:sz w:val="24"/>
        </w:rPr>
        <w:t>. The following provision replaces Section 5(k)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termination of my employment (for any reason and whether or not later found to be invalid or in breach of Canadian laws or the terms of my employment agreement, if any), my right to participate in or otherwise benefit from the ESPP, if any, shall terminate effective as of the date I am no longer actually providing services to the Company or any other Designated Company (the “Termination Date”). Unless explicitly required under applicable legislation, the Termination Date shall exclude and shall not be extended by any period during which notice, pay in lieu of notice or related payments or damages are provided or required to be provided under statute, contract, common/civil law or otherwise. For greater certainty, I will not purchase or be entitled to any pro-rated purchase of shares for that portion of time before the date on which my participation terminates, nor will I be entitled to any compensation for lost purchase.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applicable employment standards legislation explicitly requires continued participation in the ESPP during a statutory notice period, I acknowledge my right to participate in or otherwise benefit from the ESPP, if any, will terminate effective as of the last day of my minimum statutory notice period, but I will not earn or be entitled to any pro-rated purchase of shares if the Exercise Date falls after the end of my statutory notice period, nor will I be entitled to any compensation for the lost purchase of shares. For further clarity, any reference to a termination of my employment, or a date of termination under this Agreement or the ESPP, will be interpreted to mean the Termination Date.</w:t>
      </w:r>
    </w:p>
    <w:p>
      <w:pPr>
        <w:pStyle w:val="TextBody"/>
        <w:bidi w:val="0"/>
        <w:spacing w:lineRule="auto" w:line="288" w:before="240" w:after="240"/>
        <w:jc w:val="left"/>
        <w:rPr>
          <w:rFonts w:ascii="Times New Roman;serif" w:hAnsi="Times New Roman;serif"/>
          <w:b w:val="false"/>
          <w:i/>
          <w:color w:val="000000"/>
          <w:sz w:val="24"/>
        </w:rPr>
      </w:pPr>
      <w:r>
        <w:rPr>
          <w:rFonts w:ascii="Times New Roman;serif" w:hAnsi="Times New Roman;serif"/>
          <w:b w:val="false"/>
          <w:i/>
          <w:color w:val="000000"/>
          <w:sz w:val="24"/>
        </w:rPr>
        <w:t xml:space="preserve">The following provision applies if I reside in Quebec: </w:t>
      </w:r>
    </w:p>
    <w:p>
      <w:pPr>
        <w:pStyle w:val="TextBody"/>
        <w:bidi w:val="0"/>
        <w:spacing w:lineRule="auto" w:line="288" w:before="240" w:after="240"/>
        <w:jc w:val="both"/>
        <w:rPr/>
      </w:pPr>
      <w:r>
        <w:rPr>
          <w:rFonts w:ascii="Times New Roman;serif" w:hAnsi="Times New Roman;serif"/>
          <w:b/>
          <w:color w:val="000000"/>
          <w:sz w:val="24"/>
        </w:rPr>
        <w:t>French Language Documents</w:t>
      </w:r>
      <w:r>
        <w:rPr>
          <w:rFonts w:ascii="Times New Roman;serif" w:hAnsi="Times New Roman;serif"/>
          <w:b w:val="false"/>
          <w:color w:val="000000"/>
          <w:sz w:val="24"/>
        </w:rPr>
        <w:t>. The following provision replaces Section 8 of the Global Subscription Agreement in its entirety:</w:t>
      </w:r>
    </w:p>
    <w:p>
      <w:pPr>
        <w:pStyle w:val="TextBody"/>
        <w:bidi w:val="0"/>
        <w:spacing w:lineRule="auto" w:line="288" w:before="240" w:after="240"/>
        <w:jc w:val="both"/>
        <w:rPr/>
      </w:pPr>
      <w:r>
        <w:rPr>
          <w:rFonts w:ascii="Times New Roman;serif" w:hAnsi="Times New Roman;serif"/>
          <w:b w:val="false"/>
          <w:color w:val="000000"/>
          <w:sz w:val="24"/>
        </w:rPr>
        <w:t>A French translation of this document</w:t>
      </w:r>
      <w:r>
        <w:rPr>
          <w:color w:val="000000"/>
        </w:rPr>
        <w:t xml:space="preserve"> </w:t>
      </w:r>
      <w:r>
        <w:rPr>
          <w:rFonts w:ascii="Times New Roman;serif" w:hAnsi="Times New Roman;serif"/>
          <w:b w:val="false"/>
          <w:color w:val="000000"/>
          <w:sz w:val="24"/>
        </w:rPr>
        <w:t>and the ESPP are available to me on the Company’s Global Equity Programs LOOP Page (</w:t>
      </w:r>
      <w:r>
        <w:rPr>
          <w:rFonts w:ascii="Times New Roman;serif" w:hAnsi="Times New Roman;serif"/>
          <w:b w:val="false"/>
          <w:color w:val="000000"/>
          <w:sz w:val="24"/>
          <w:u w:val="single"/>
        </w:rPr>
        <w:t>https://theloop.paloaltonetworks.com/loop/employee-resources/global-equity-programs/equity-plan-documents</w:t>
      </w:r>
      <w:r>
        <w:rPr>
          <w:rFonts w:ascii="Times New Roman;serif" w:hAnsi="Times New Roman;serif"/>
          <w:b w:val="false"/>
          <w:color w:val="000000"/>
          <w:sz w:val="24"/>
        </w:rPr>
        <w:t>). Notwithstanding anything to the contrary in the ESPP or the Agreement, and unless I indicate otherwise, the French translation of this Agreement and the ESPP will govern my participation in the ESPP. If I transfer residency outside of Quebec, the English version of this Agreement and the ESPP will govern my participation in the ESPP.</w:t>
      </w:r>
    </w:p>
    <w:p>
      <w:pPr>
        <w:pStyle w:val="TextBody"/>
        <w:bidi w:val="0"/>
        <w:spacing w:lineRule="auto" w:line="288" w:before="240" w:after="240"/>
        <w:jc w:val="both"/>
        <w:rPr/>
      </w:pPr>
      <w:r>
        <w:rPr>
          <w:rFonts w:ascii="Times New Roman;serif" w:hAnsi="Times New Roman;serif"/>
          <w:b/>
          <w:i/>
          <w:color w:val="000000"/>
          <w:sz w:val="24"/>
        </w:rPr>
        <w:t>Documents en langue française</w:t>
      </w:r>
      <w:r>
        <w:rPr>
          <w:rFonts w:ascii="Times New Roman;serif" w:hAnsi="Times New Roman;serif"/>
          <w:b w:val="false"/>
          <w:i/>
          <w:color w:val="000000"/>
          <w:sz w:val="24"/>
        </w:rPr>
        <w:t>. La disposition suivante remplace le paragraphe 8 de la Convention mondiale de souscription dans son intégralité:</w:t>
      </w:r>
    </w:p>
    <w:p>
      <w:pPr>
        <w:pStyle w:val="TextBody"/>
        <w:bidi w:val="0"/>
        <w:spacing w:lineRule="auto" w:line="288" w:before="240" w:after="240"/>
        <w:jc w:val="both"/>
        <w:rPr/>
      </w:pPr>
      <w:r>
        <w:rPr>
          <w:rFonts w:ascii="Times New Roman;serif" w:hAnsi="Times New Roman;serif"/>
          <w:b w:val="false"/>
          <w:i/>
          <w:color w:val="000000"/>
          <w:sz w:val="24"/>
        </w:rPr>
        <w:t>Une traduction française du présent document</w:t>
      </w:r>
      <w:r>
        <w:rPr>
          <w:color w:val="000000"/>
        </w:rPr>
        <w:t xml:space="preserve"> </w:t>
      </w:r>
      <w:r>
        <w:rPr>
          <w:rFonts w:ascii="Times New Roman;serif" w:hAnsi="Times New Roman;serif"/>
          <w:b w:val="false"/>
          <w:i/>
          <w:color w:val="000000"/>
          <w:sz w:val="24"/>
        </w:rPr>
        <w:t>et du Régime est mise à ma disposition sur la page LOOP des programmes d'actions mondiaux de la Société (</w:t>
      </w:r>
      <w:r>
        <w:rPr>
          <w:rFonts w:ascii="Times New Roman;serif" w:hAnsi="Times New Roman;serif"/>
          <w:b w:val="false"/>
          <w:i/>
          <w:color w:val="000000"/>
          <w:sz w:val="24"/>
          <w:u w:val="single"/>
        </w:rPr>
        <w:t>https://theloop.paloaltonetworks.com/loop/employee-resources/global-equity-programs/equity-plan-documents</w:t>
      </w:r>
      <w:r>
        <w:rPr>
          <w:rFonts w:ascii="Times New Roman;serif" w:hAnsi="Times New Roman;serif"/>
          <w:b w:val="false"/>
          <w:i/>
          <w:color w:val="000000"/>
          <w:sz w:val="24"/>
        </w:rPr>
        <w:t>). Malgré toute disposition contraire dans le Régime ou la Convention, sauf si j’indique le contraire, la traduction française de la présente Convention et du Régime régira ma participation au Régime. Si je transfère ma résidence à l’extérieur du Québec, la version anglaise de la présente Convention et du Régime régira ma participation au Régime.</w:t>
      </w:r>
    </w:p>
    <w:p>
      <w:pPr>
        <w:pStyle w:val="TextBody"/>
        <w:bidi w:val="0"/>
        <w:spacing w:lineRule="auto" w:line="288" w:before="240" w:after="240"/>
        <w:jc w:val="left"/>
        <w:rPr/>
      </w:pPr>
      <w:r>
        <w:rPr>
          <w:rFonts w:ascii="Times New Roman;serif" w:hAnsi="Times New Roman;serif"/>
          <w:b/>
          <w:color w:val="000000"/>
          <w:sz w:val="24"/>
        </w:rPr>
        <w:t>Data Privacy</w:t>
      </w:r>
      <w:r>
        <w:rPr>
          <w:rFonts w:ascii="Times New Roman;serif" w:hAnsi="Times New Roman;serif"/>
          <w:b w:val="false"/>
          <w:color w:val="000000"/>
          <w:sz w:val="24"/>
        </w:rPr>
        <w:t>. This provision supplements the Data Privacy Provisions for Participants who reside outside of European Union / European Economic Area member states, Switzerland and the United Kingdom above in this Appendix:</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hereby authorize the Company and the Company’s representatives to discuss with and obtain all relevant information from all personnel, professional or not, involved in the administration and operation of the ESPP. I further authorize the Company or any Subsidiary or Affiliate and the Administrator to disclose and discuss the ESPP with their advisors. I acknowledge and agree that my personal information, including sensitive personal information, may be transferred or disclosed outside the Province of Quebec, including to the United States. I further authorize the Company or any Subsidiary or Affiliate to record such information and to keep such information in my employee file. I also acknowledge that the Company and other parties involved in the administration of the ESPP may use technology for profiling purposes and make automated decisions that may have an impact on me or the administration of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I acknowledge that I am permitted to sell shares of Common Stock acquired pursuant to the ESPP through the designated broker appointed under the ESPP, if any, provided the sale of the shares acquired pursuant to the ESPP takes place outside of Canada through the facilities of a stock exchange on which the shares are listed (</w:t>
      </w:r>
      <w:r>
        <w:rPr>
          <w:rFonts w:ascii="Times New Roman;serif" w:hAnsi="Times New Roman;serif"/>
          <w:b w:val="false"/>
          <w:i/>
          <w:color w:val="000000"/>
          <w:sz w:val="24"/>
        </w:rPr>
        <w:t>i.e.</w:t>
      </w:r>
      <w:r>
        <w:rPr>
          <w:rFonts w:ascii="Times New Roman;serif" w:hAnsi="Times New Roman;serif"/>
          <w:b w:val="false"/>
          <w:color w:val="000000"/>
          <w:sz w:val="24"/>
        </w:rPr>
        <w:t>, the Nasdaq Global Select Market).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CHINA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rFonts w:ascii="Times New Roman;serif" w:hAnsi="Times New Roman;serif"/>
          <w:b w:val="false"/>
          <w:i/>
          <w:color w:val="000000"/>
          <w:sz w:val="24"/>
          <w:u w:val="single"/>
        </w:rPr>
      </w:pPr>
      <w:r>
        <w:rPr>
          <w:rFonts w:ascii="Times New Roman;serif" w:hAnsi="Times New Roman;serif"/>
          <w:b w:val="false"/>
          <w:i/>
          <w:color w:val="000000"/>
          <w:sz w:val="24"/>
          <w:u w:val="single"/>
        </w:rPr>
        <w:t>The following provisions will apply if I am subject to exchange control restrictions and requirements in the People’s Republic of China (“PRC”), including the requirements imposed by the State Administration of Foreign Exchange (“SAFE”) as determined by the Company in its sole discretion:</w:t>
      </w:r>
    </w:p>
    <w:p>
      <w:pPr>
        <w:pStyle w:val="TextBody"/>
        <w:bidi w:val="0"/>
        <w:spacing w:lineRule="auto" w:line="288" w:before="240" w:after="240"/>
        <w:jc w:val="both"/>
        <w:rPr/>
      </w:pPr>
      <w:r>
        <w:rPr>
          <w:rFonts w:ascii="Times New Roman;serif" w:hAnsi="Times New Roman;serif"/>
          <w:b/>
          <w:color w:val="000000"/>
          <w:sz w:val="24"/>
        </w:rPr>
        <w:t>Purchase Conditioned on Satisfaction of Regulatory Obligations</w:t>
      </w:r>
      <w:r>
        <w:rPr>
          <w:rFonts w:ascii="Times New Roman;serif" w:hAnsi="Times New Roman;serif"/>
          <w:b w:val="false"/>
          <w:color w:val="000000"/>
          <w:sz w:val="24"/>
        </w:rPr>
        <w:t>. Notwithstanding anything to the contrary in the Agreement or the ESPP, no shares of Common Stock will be purchased on my behalf unless and until all necessary exchange control or other approvals with respect to the ESPP have been obtained from SAFE or its local counterpart (“SAFE Approval”) and maintained prior to each Exercise Date. In the event SAFE Approval has not been obtained or maintained prior to any Exercise Date(s), the Company may return payroll deductions credited to my account but not used to purchase shares during the Purchase Period, without interest, or take such other steps as it determines in its sole discretion to be necessary for the implementation of the ESPP. In such case, participation in the ESPP will continue, unless I otherwise withdraw from or become ineligible to participate in the ESPP.</w:t>
      </w:r>
    </w:p>
    <w:p>
      <w:pPr>
        <w:pStyle w:val="TextBody"/>
        <w:bidi w:val="0"/>
        <w:spacing w:lineRule="auto" w:line="288" w:before="240" w:after="240"/>
        <w:jc w:val="both"/>
        <w:rPr/>
      </w:pPr>
      <w:r>
        <w:rPr>
          <w:rFonts w:ascii="Times New Roman;serif" w:hAnsi="Times New Roman;serif"/>
          <w:b/>
          <w:color w:val="000000"/>
          <w:sz w:val="24"/>
        </w:rPr>
        <w:t>Shares Must Remain With Company’s Designated Broker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 agree to hold any shares of Common Stock acquired under the ESPP with E*TRADE, or such other broker as the Company may designate, until the shares are sold. The limitation shall apply to all shares issued to me under the ESPP, whether or not I remain an Eligible Employee. </w:t>
      </w:r>
    </w:p>
    <w:p>
      <w:pPr>
        <w:pStyle w:val="TextBody"/>
        <w:bidi w:val="0"/>
        <w:spacing w:lineRule="auto" w:line="288" w:before="240" w:after="240"/>
        <w:jc w:val="both"/>
        <w:rPr/>
      </w:pPr>
      <w:r>
        <w:rPr>
          <w:rFonts w:ascii="Times New Roman;serif" w:hAnsi="Times New Roman;serif"/>
          <w:b/>
          <w:color w:val="000000"/>
          <w:sz w:val="24"/>
        </w:rPr>
        <w:t>Sale of Shares</w:t>
      </w:r>
      <w:r>
        <w:rPr>
          <w:rFonts w:ascii="Times New Roman;serif" w:hAnsi="Times New Roman;serif"/>
          <w:b w:val="false"/>
          <w:color w:val="000000"/>
          <w:sz w:val="24"/>
        </w:rPr>
        <w:t>. Due to local regulatory requirements, I understand and agree that the Company may require that any shares of Common Stock purchased under the ESPP be immediately sold.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 further agree that the Company is authorized to instruct its designated broker to assist with the mandatory sale of such shares (on my behalf pursuant to this authorization without further consent) and I expressly authorize the Company’s designated broker to complete the sale of such shares. In this regard, I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shall otherwise cooperate with the Company with respect to such matters, provided that I shall not be permitted to exercise any influence over how, when or whether the sales occur. I acknowledge that the Company’s designated broker is under no obligation to arrange for the sale of the shares at any particular price.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the Company, in its discretion, does not exercise its right to require the automatic sale of the shares purchased under the ESPP, as described in the preceding paragraph, I understand and agree that any shares acquired under the ESPP must be sold no later than six months from my termination of employment, or within any such other period as may be permitted by the Company or required by SAFE. I understand that any shares acquired under the ESPP that have not been sold within six months of my termination or within such other period as may be permitted by the Company or required by SAFE will be automatically sold by the designated broker pursuant to this authorization without further consent and subject to the terms of the preceding paragraph.</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Upon the sale of the shares, I will receive the cash proceeds from the sale, less any brokerage fees or commissions and subject to any obligation to satisfy any Tax-Related Items.  I agree to comply with all requirements the Company may impose in order to facilitate compliance with exchange control requirements in China prior to receipt of the cash proceeds. I acknowledge that I am not aware of any material nonpublic information with respect to the Company or any securities of the Company as of the date of the Agreement.</w:t>
      </w:r>
    </w:p>
    <w:p>
      <w:pPr>
        <w:pStyle w:val="TextBody"/>
        <w:bidi w:val="0"/>
        <w:spacing w:lineRule="auto" w:line="288" w:before="240" w:after="240"/>
        <w:jc w:val="both"/>
        <w:rPr/>
      </w:pPr>
      <w:r>
        <w:rPr>
          <w:rFonts w:ascii="Times New Roman;serif" w:hAnsi="Times New Roman;serif"/>
          <w:b/>
          <w:color w:val="000000"/>
          <w:sz w:val="24"/>
        </w:rPr>
        <w:t>Exchange Control Requirements</w:t>
      </w:r>
      <w:r>
        <w:rPr>
          <w:rFonts w:ascii="Times New Roman;serif" w:hAnsi="Times New Roman;serif"/>
          <w:b w:val="false"/>
          <w:color w:val="000000"/>
          <w:sz w:val="24"/>
        </w:rPr>
        <w:t xml:space="preserve">.  By enrolling and participating in the ESPP, I understand and agree that, pursuant to local exchange control requirements, I will be required to repatriate the cash proceeds from the sale of the shares and the receipt of any dividends to China.  I further understand that, under local law, such repatriation of the cash proceeds may need to be effectuated through a special exchange control account established by the Company, the Employer or another Subsidiary or Affiliate, and I hereby consent and agree that any proceeds from the sale of any shares I acquire under the ESPP and any dividends may be transferred to such special account prior to being delivered to me.  </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further understand that the proceeds will be delivered to me as soon as possible, but there may be delays in distributing the funds to me due to exchange control requirements in China. Proceeds may be paid to me in U.S. dollars or local currency, at the Company’s discretion. If the proceeds are paid in U.S. dollars, I will be required to set up a U.S. dollar bank account in China so that the proceeds may be deposited into this account. If the proceeds are paid in local currency, I agree that the Company, the Employer or any other Subsidiary or Affiliate in China is under no obligation to secure any particular exchange conversion rate and there may be delays in converting the cash proceeds to local currency due to exchange control restrictions. I agree to bear any currency fluctuation risk between the time the cash proceeds are received and the time the cash proceeds are distributed to me through the special account described above.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further agree to comply with any other requirements that may be imposed by the Company in the future in order to facilitate compliance with exchange control requirements in China.</w:t>
      </w:r>
    </w:p>
    <w:p>
      <w:pPr>
        <w:pStyle w:val="TextBody"/>
        <w:bidi w:val="0"/>
        <w:spacing w:lineRule="auto" w:line="288" w:before="240" w:after="240"/>
        <w:jc w:val="both"/>
        <w:rPr/>
      </w:pPr>
      <w:r>
        <w:rPr>
          <w:rFonts w:ascii="Times New Roman;serif" w:hAnsi="Times New Roman;serif"/>
          <w:b/>
          <w:color w:val="000000"/>
          <w:sz w:val="24"/>
        </w:rPr>
        <w:t>Additional Restrictions</w:t>
      </w:r>
      <w:r>
        <w:rPr>
          <w:rFonts w:ascii="Times New Roman;serif" w:hAnsi="Times New Roman;serif"/>
          <w:b w:val="false"/>
          <w:color w:val="000000"/>
          <w:sz w:val="24"/>
        </w:rPr>
        <w:t>. No shares of Common Stock will be purchased or issued unless the Company determines that such purchase and issuance and delivery of shares complies with all Applicable Laws. Further, the Company is under no obligation to purchase and/or issue shares if the Company’s SAFE approval becomes invalid or ceases to be in effect by the Exercise Date.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COSTA RICA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hereby expressly acknowledge that my authorization to the Employer to withhold a percentage of my Compensation, as specified in the Global Subscription Agreement, was given voluntarily for purposes of my participation in the ESPP.</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CZECH REPUBLIC</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Payroll Deduction Authorization</w:t>
      </w:r>
      <w:r>
        <w:rPr>
          <w:rFonts w:ascii="Times New Roman;serif" w:hAnsi="Times New Roman;serif"/>
          <w:b w:val="false"/>
          <w:color w:val="000000"/>
          <w:sz w:val="24"/>
        </w:rPr>
        <w:t>. I hereby authorize the Employer to take payroll deductions from each of my paychecks during the Offering Period at the percentage of my Compensation (from 1% to 15%) as indicated on the online enrollment page. I understand that, by electronically accepting this Agreement, I am executing the attached Agreement on Wage Deductions. I understand I will not be able to participate in the ESPP if I fail to execute the Agreement on Wage Deductions.</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The Czech National Bank may require me to fulfill certain notification duties in relation to the purchase of shares of Common Stock under the ESPP and/or the opening and maintenance of a foreign bank or brokerage account. In addition, I may need to report certain events even in the absence of a request from the Czech National Bank. Because exchange control regulations may change without notice, I should consult my personal legal advisor prior to the purchase or the sale of shares of Common Stock to ensure compliance with current regulations. It is my responsibility to comply with any applicable Czech exchange control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040"/>
        <w:gridCol w:w="1464"/>
        <w:gridCol w:w="1472"/>
        <w:gridCol w:w="109"/>
        <w:gridCol w:w="109"/>
        <w:gridCol w:w="109"/>
        <w:gridCol w:w="1443"/>
        <w:gridCol w:w="1429"/>
        <w:gridCol w:w="2030"/>
      </w:tblGrid>
      <w:tr>
        <w:trPr/>
        <w:tc>
          <w:tcPr>
            <w:tcW w:w="204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DOHODA O SRÁŽKÁCH ZE MZDY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AGREEMENT ON WAGE DEDUCTIONS</w:t>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(dále jen „Dohoda“)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(hereinafter referred to as the “Agreement”)</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uzavřená podle zákona č. 262/2006 Sb., zákoníku práce (dále jen „zákoník práce“) mezi: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concluded pursuant to Act No. 262/2006, the Labor Code (hereinafter referred to as the “Labor Code”), between: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Palo Alto Networks (Czech) s.r.o., společností založenou a existující podle práva České republiky, se sídlem Město, Czech Republic,</w:t>
            </w:r>
            <w:r>
              <w:rPr>
                <w:color w:val="FF00FF"/>
              </w:rPr>
              <w:t xml:space="preserve"> </w:t>
            </w:r>
            <w:r>
              <w:rPr>
                <w:rFonts w:ascii="Times New Roman;serif" w:hAnsi="Times New Roman;serif"/>
                <w:b w:val="false"/>
                <w:color w:val="000000"/>
                <w:sz w:val="20"/>
              </w:rPr>
              <w:t xml:space="preserve">IČO: 038 66 149, dále jen „Zaměstnavatel“,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Palo Alto Networks (Czech) s.r.o., a company established and existing under the laws of the Czech Republic, with its registered seat at Město, Czech Republic, Identification No.: 038 66 149 hereinafter referred to as the “Employer”,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zaměstnancem, kter☒ se elektronicky přihlásil k účasti v Doplněném a přepracovaném obecném plánu Palo Alto Networks, Inc. 2012 Employee Stock Purchase Plan („Plán“) a jehož datum narození a trvalé bydliště jsou vedeny v záznamech Palo Alto Networks, Inc., dále jen „Zaměstnanec“,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employee who has electronically enrolled in the Palo Alto Networks, Inc. 2012 Employee Stock Purchase Plan (“Plan”) and whose date of birth and home address are maintained in the records of Palo Alto Networks, Inc., hereinafter referred to as the "Employee."</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Zaměstnanec a Zaměstnavatel dále také jen společně jako „Strany“ či jednotlivě jako „Strana“.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 and Employer are hereinafter also referred to jointly as “Parties” or individually as a “Party.”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Zaměstnanec je oprávněn účastnit se Plánu a kupovat kmenové akcie („Akcie“), společnosti Palo Alto Networks, Inc., se sídlem 3000 Tannery Way, Santa Clara, California 95054, U.S.A. („Společnost“), a to za podmínek stanoven☒ch Plánem a jakoukoliv dodatečnou dohodou o zápise, uzavřenou mezi Zaměstnancem a Společností. Není-li v☒slovně uvedeno jinak, jednotlivé termíny a definice užívané v této Dohodě mají v☒znam, kter☒ je jim připisován v Plánu.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The Employee is eligible to participate in the Plan and to purchase shares of common stock (“Shares”) of Palo Alto Networks, Inc., with registered address at 3000 Tannery Way, Santa Clara, California 95054, U.S.A. (“Company”), under the terms and conditions of the Plan and any additional subscription agreement entered into between the Employee and the Company. Unless explicitly stated otherwise, individual terms and definitions used herein have the meaning assigned to them in the Plan.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Zaměstnanec bude hradit svůj příspěvek na kupní cenu Akcií dle Plánu, a to prostřednictvím srážek ze mzdy Zaměstnance, vyplácené mu Zaměstnavatelem, a to počínaje prvním platebním termínem následujícím po zápise Zaměstnance do Plánu. Zaměstnanec tímto dává souhlas Zaměstnavateli, aby Zaměstnavatel prováděl jednou za každ☒ kalendářní měsíc srážku ze mzdy Zaměstnance (ve smyslu § 145 zákoníku práce podle ustanovení § 146 písm. b) zákoníku práce a článků 3.01 a 6 Plánu) ve v☒ši, která nepřesáhne 25 000 USD (v česk☒ch korunách) v hodnotě akcií za kalendářní rok, odpovídající procentu ze mzdy Zaměstnance (jak je definována v Plánu), které se Zaměstnanec rozhodl přispívat po zápise do Plánu. Jestliže Zaměstnanec následně zv☒ší či sníží procento svého příspěvku (jak je povoleno v podmínkách Plánu), v☒še srážek Zaměstnance se adekvátně změní. Mimoto pokud se změní mzda Zaměstnance, v☒še srážek se může adekvátně změnit.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Například, pokud mzda Zaměstnance v měsíci po zápise činí 100 000 Kč a Zaměstnanec se rozhodl přispívat 10% své mzdy na nákup Akcií dle Plánu, Zaměstnavatel je oprávněn provést srážku 10 000 Kč ze mzdy Zaměstnance v měsíci po Dni zápisu. Jestliže se mzda Zaměstnance zv☒ší na 120 000 Kč v následujícím měsíci, Zaměstnavatel je oprávněn provést srážku 12 000 Kč ze mzdy Zaměstnance. Jestliže Zaměstnanec sníží procento svého příspěvku na 5% v následujícím měsíci, Zaměstnavatel je oprávněn provést srážku 6 000 Kč ze mzdy Zaměstnance.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The Employee will pay his/her contributions to purchase Shares under the Plan by way of deductions from wages paid to the Employee by the Employer, starting with the first pay day following the Enrollment Date. The Employee hereby grants his/her consent to the Employer to make deductions once per calendar month (pursuant to Sec. 145 of the Labor Code pursuant to Sec. 146 (b) of the Labor Code and Sections 3.01 and 6 of the Plan) to the extent not to exceed USD 25,000 (in Czech crowns) worth of stock per calendar year that reflects the percentage of the Employee’s Compensation (as defined in the Plan) that he or she has elected to contribute upon enrollment in the Plan. If the Employee subsequently increases or decreases his/her contribution percentage (as permitted under the terms of the Plan), the amount of the Employee’s deductions will change accordingly. In addition, if the Employee’s Compensation changes, the amount of the deductions may change accordingly.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 way of example, if the Employee’s Compensation in the month after enrollment is CZK 100,000 and the Employee has elected to contribute 10% of his or her Compensation to purchase Shares under the Plan, the Employer is authorized to deduct CZK 10,000 from the Employee’s Compensation in the month after the Enrollment Date. If the Employee’s Compensation increases to CZK 120,000 in a subsequent month, the Employer is authorized to deduct CZK 12,000 from the Employee’s Compensation in the month of the increase. If the Employee decreases his or her contribution percentage to 5% in a subsequent month, the Employer is authorized to deduct CZK 6,000 from the Employee’s Compensation.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 Zaměstnavatel se zavazuje poukazovat provedené srážky ze mzdy dle této Dohody Společnosti, a to do 30 dnů od data zakoupení. Zaměstnavatel je oprávněn použít sražené finanční prostředky dle této Dohody v☒hradně v souladu s podmínkami a pravidly uveden☒mi v této Dohodě a Plánu a vrátit jakékoliv srážky Zaměstnanci, pokud to vyžaduje Plán.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 The Employer undertakes to remit the wage deductions under this Agreement to the Company within 30 days prior to the Exercise Date. The Employer is entitled to use such wage deductions solely in accordance with the terms and conditions of this Agreement and the Plan, and to refund any deductions to the Employee, if required by the Plan. </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 Zaměstnanec potvrzuje a souhlasí s tím, že veškeré srážky ze mzdy Zaměstnance provedené v minulosti v souvislosti s účastí Zaměstnance na Plánu byly v souladu s česk☒m právem a Zaměstnanec dal se všemi těmito srážkami řádn☒ souhlas.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4. The Employee acknowledges and agrees that any past deductions from the Employee’s Compensation with respect to the Employee’s participation in the Plan complied with Czech law and the Employee duly authorized all such deductions.</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 Tato Dohoda zaniká: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pokud je (písemně) vypovězena jakoukoliv Stranou; nebo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pokud je ukončena účast Zaměstnance v Plánu, jak je stanoveno v Plánu (včetně situace, kdy Zaměstnanec ukončí pracovní poměr nebo odstoupí od Plánu).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This Agreement terminates: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if it is terminated (in writing) by either Party; or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when the Employee’s participation in the Plan is terminated, as set forth in the Plan (including if the Employee terminates employment or withdraws from the Plan).</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6. Tato Dohoda je vyhotovena v českém a anglickém jazyce. Rozhodující je české znění této Dohody. Každá Strana obdrží jedno vyhotovení této Dohody. Jakékoli změny této Dohody mohou b☒t učiněny jen písemnou dohodou podepsanou oběma Stranami.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 This Agreement has been executed in Czech and English language. The Czech language version of this Agreement shall be decisive. Each Party will receive one version of this Agreement. Any change(s) to this Agreement may only be made by a written agreement signed by both Parties.</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Obě Strany tímto prohlašují a potvrzují, že tato Dohoda byla uzavřena po vzájemném projednání a to svobodně, vážně a určitě, nikoliv v tísni za nápadně nev☒hodn☒ch podmínek a na důkaz toho Strany vyjadřují osobně či prostřednictvím sv☒ch zástupců svůj souhlas.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Both Parties represent and declare that this Agreement has been concluded upon mutual discussion, freely, seriously and definitely and not under strikingly unfavorable conditions, in witness whereof, the Parties themselves or through their representatives have agreed hereto.</w:t>
            </w:r>
          </w:p>
        </w:tc>
      </w:tr>
      <w:tr>
        <w:trPr/>
        <w:tc>
          <w:tcPr>
            <w:tcW w:w="4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DENMARK</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Danish Stock Option Act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By accepting the option to purchase shares of Common Stock and enrolling in the ESPP, I acknowledge that I have received the Employer Statement translated into Danish and set forth below, which is being provided to comply with the Danish Stock Option Act (the “Act”).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acknowledge that the Act has been amended as of January 1, 2019. Accordingly, I agree that in the event of termination of my employment, the provisions governing my participation in the ESPP under this Agreement and the ESPP will apply for any Offering Period which begins on or after January 1, 2019. The relevant provisions are detailed in the Agreement, the ESPP and the Employer Statement.</w:t>
      </w:r>
    </w:p>
    <w:tbl>
      <w:tblPr>
        <w:tblW w:w="10205" w:type="dxa"/>
        <w:jc w:val="left"/>
        <w:tblInd w:w="0" w:type="dxa"/>
        <w:tblLayout w:type="fixed"/>
        <w:tblCellMar>
          <w:top w:w="28" w:type="dxa"/>
          <w:left w:w="28" w:type="dxa"/>
          <w:bottom w:w="28" w:type="dxa"/>
          <w:right w:w="28" w:type="dxa"/>
        </w:tblCellMar>
      </w:tblPr>
      <w:tblGrid>
        <w:gridCol w:w="1483"/>
        <w:gridCol w:w="1304"/>
        <w:gridCol w:w="1310"/>
        <w:gridCol w:w="109"/>
        <w:gridCol w:w="109"/>
        <w:gridCol w:w="109"/>
        <w:gridCol w:w="1691"/>
        <w:gridCol w:w="1691"/>
        <w:gridCol w:w="2399"/>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EMPLOYER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ARBEJDSGIVERERKLÆRING</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Section 3(1) of the Act on Stock Options in employment relations (the "Stock Option Act"), you are entitled to receive the following information regarding the PALO ALTO NETWORKS, Inc. 2012 Employee Stock Purchase Plan (the “ESPP”) in a separate written statement.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This statement contains information applicable to your participation in the ESPP, as required under the Stock Option Act. Additional terms and conditions of the ESPP are described in the ESPP and other subscription materials, which have been made available to you. In the event of a conflict between a provision contained in this Employer Statement and provisions contained in the ESPP subscription materials, this Employer Statement shall prevail. Capitalized terms used but not defined herein, shall have the same meaning as terms defined in the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 henhold til § 3, stk. 1, i lov om brug af køberet eller tegningsret mv. i ansættelsesforhold ("Aktieoptionsloven") er du berettiget til i en særskilt skriftlig erklæring at modtage følgende oplysninger vedrørende PALO ALTO NETWORKS, Inc.'s medarbejderaktieordning "2012 Employee Stock Purchase Plan" (i det følgende kaldet "ESPP"). </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Denne erklæring indeholder de i henhold til Aktieoptionsloven krævede oplysninger vedrørende din deltagelse i ESPP. Yderligere kriterier og betingelser for ordningen er beskrevet i ESPP og det andet tegningsmateriale, som du har fået udleveret. I tilfælde af uoverensstemmelser mellem en bestemmelse i denne Arbejdsgivererklæring og bestemmelserne i ESPP-tegningsmaterialet skal denne Arbejdsgivererklæring have forrang. Begreber, der står med stort begyndelsesbogstav i denne Arbejdsgivererklæring, men som ikke er defineret heri, har samme betydning som de i ESPP definerede begreber.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Time of grant of right to purchase stock under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Provided you are eligible to participate in the ESPP and decide to enroll in the ESPP, consistent with the requirements of the ESPP, you will be granted a right to purchase shares of stock of PALO ALTO NETWORKS, Inc. (the “Company”) at the beginning of each Offering Period, as defined in the ESPP, as long as you remain enrolled in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each Offering Period, you may elect to have payroll deductions from each paycheck in the amount of a specific percentage of your Compensation on each payday (from 1 to 15%). Your participation in the ESPP is subject to the additional terms and conditions provided in the ESPP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Tidspunktet for tildeling af retten til at købe aktier i henhold til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Forudsat at du er berettiget til at deltage i ESPP samt beslutter dig for at tilmelde dig ESPP, vil du i overensstemmelse med kravene i ESPP få tildelt en ret til at købe aktier i PALO ALTO NETWORKS, Inc. ("Selskabet") ved starten af hver Udbudsperiode (som defineret i ESPP), så længe du vedbliver at være tilmeldt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 hver Udbudsperiode kan du vælge, at der i forbindelse med hver lønudbetaling fra din løn trækkes et beløb svarende til en bestemt procentdel af dit Vederlag (fra 1 til 15%). Din deltagelse i ESPP er underlagt de yderligere kriterier og betingelser, som fremgår af ESPP-materialet.</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Terms or conditions for grant of a right to future purchases of stock.</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ESPP is offered at the discretion of the Company’s Board of Directors. The Company may terminate, suspend or amend the ESPP at any time and without the consent of the participating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Kriterier eller betingelser for tildeling af retten til senere at købe aktier</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ESPP udbydes efter Selskabets bestyrelses frie skøn. Selskabet har til enhver tid ret til at ophæve, afbryde eller ændre ESPP uden de deltagende medarbejderes samtykke. </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    Purchase Date</w:t>
            </w:r>
          </w:p>
          <w:p>
            <w:pPr>
              <w:pStyle w:val="TableContents"/>
              <w:bidi w:val="0"/>
              <w:spacing w:lineRule="auto" w:line="288" w:before="0" w:after="120"/>
              <w:jc w:val="both"/>
              <w:rPr/>
            </w:pPr>
            <w:r>
              <w:rPr>
                <w:rFonts w:ascii="Times New Roman;serif" w:hAnsi="Times New Roman;serif"/>
                <w:b w:val="false"/>
                <w:color w:val="000000"/>
                <w:sz w:val="20"/>
              </w:rPr>
              <w:t>On the last day of each Purchase Period, or the next trading day, if the last day is not a trading day (</w:t>
            </w:r>
            <w:r>
              <w:rPr>
                <w:rFonts w:ascii="Times New Roman;serif" w:hAnsi="Times New Roman;serif"/>
                <w:b w:val="false"/>
                <w:i/>
                <w:color w:val="000000"/>
                <w:sz w:val="20"/>
              </w:rPr>
              <w:t>i.e.</w:t>
            </w:r>
            <w:r>
              <w:rPr>
                <w:rFonts w:ascii="Times New Roman;serif" w:hAnsi="Times New Roman;serif"/>
                <w:b w:val="false"/>
                <w:color w:val="000000"/>
                <w:sz w:val="20"/>
              </w:rPr>
              <w:t xml:space="preserve">, the Exercise Date), shares of common stock of the Company will automatically be purchased for you with your accumulated payroll deductions. The number of shares purchased will depend upon the Purchase Price, as defined below, and the amount of accumulated payroll deductions. You will become the immediate owner of the shares purchased and you may then sell your shares at any time.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    Købsdato</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På den sidste dag i hver købsperiode, eller, hvis denne dag ikke er en handelsdag, på den næstfølgende handelsdag efter den sidste dag i hver Udbudsperiode (dvs. Udnyttelsesdatoen) vil der automatisk blive købt ordinære aktier i Selskabet til dig for det akkumulerede beløb, der er fratrukket dine lønudbetalinger. Antallet af købte aktier afhænger af Købskursen (som defineret nedenfor) og det akkumulerede beløb, der er fratrukket dine lønudbetalinger. Du bliver den umiddelbare ejer af de købte aktier, og du kan til enhver tid sælge dine aktier.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    Purchase Price</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Purchase Price per share shall mean an amount equal to 85% of the lesser of (a) the Fair Market Value, as defined in the ESPP, of a share of common stock on the Enrollment Date; or (b) the Fair Market Value, as defined in the ESPP, of a share of common stock on the Exercise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    Købskurs</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Købskursen pr. aktie betyder et beløb svarende til 85% af det laveste af de to følgende beløb: (a) Markedskursen (som defineret i ESPP) på en ordinær aktie på Tilmeldingsdato eller (b) Markedskursen (som defineret i ESPP) på en ordinær aktie på Udnyttelsesdatoen.</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    Your rights upon termination of employment</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treatment of your ESPP rights upon termination of employment will be determined in accordance with the termination provisions in the ESPP and the ESPP subscription materials, pursuant to which your right to purchase shares under the ESPP will terminate immediately as of the date you cease to actively provide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    Din retsstilling i forbindelse med fratræden</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tilfælde af dit ansættelsesforholds ophør vil dine ESPP-rettigheder blive behandlet i overensstemmelse med fratrædelsesbestemmelserne i ESPP og ESPP-tegningsmaterialet, ifølge hvilke din ret til at købe aktier i henhold til ESPP ophører øjeblikkeligt med virkning fra det tidspunkt, hvor du ophører med aktivt at levere ydelser.</w:t>
            </w:r>
          </w:p>
        </w:tc>
      </w:tr>
      <w:tr>
        <w:trPr/>
        <w:tc>
          <w:tcPr>
            <w:tcW w:w="4097"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    Financial aspects of participating in the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Aside from the payroll deductions which will start after you enroll in the ESPP, the ESPP offering has no immediate financial consequences for you. The value of the shares purchased for you under the ESPP are not taken into account when calculating holiday allowances, pension contributions or other statutory consideration calculated on the basis of salary.</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Shares of stock are financial instruments and investing in stock will always have financial risk. The possibility of profit at the time you sell your shares will not only be dependent on the Company’s financial development, but also on the general development of the stock market, among other things. In addition, after you purchase shares, the shares could decrease in value even below the Purchase Price.</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Stock Plan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1"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6.    Økonomiske aspekter ved at deltage i ESPP</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Bortset fra de fradrag i din løn, der vil blive påbegyndt, når du har tilmeldt dig ESPP, har ESPP-udbuddet ikke nogen umiddelbare økonomiske konsekvenser for dig. Værdien af de aktier, der købes til dig i henhold til ESPP, indgår ikke i beregningen af feriepenge, pensionsbidrag eller øvrige vederlagsafhængige lovpligtige ydelser.</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Aktier er finansielle instrumenter, og investering i aktier vil altid være forbundet med en økonomisk risiko. Muligheden for en gevinst på det tidspunkt, hvor du sælger dine aktier, afhænger ikke kun af Selskabets økonomiske udvikling, men også bl.a. af den generelle udvikling på aktiemarkedet. Derudover kan aktiernes værdi efter købstidspunktet falde til en værdi, der ligger under Købsprisen.</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Aktieordningsadministrationen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FINLAND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FRANCE</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Securities Law Information.</w:t>
      </w:r>
      <w:r>
        <w:rPr>
          <w:color w:val="000000"/>
        </w:rPr>
        <w:t xml:space="preserve"> </w:t>
      </w:r>
      <w:r>
        <w:rPr>
          <w:rFonts w:ascii="Times New Roman;serif" w:hAnsi="Times New Roman;serif"/>
          <w:b w:val="false"/>
          <w:color w:val="000000"/>
          <w:sz w:val="24"/>
        </w:rPr>
        <w:t>The Company has prepared and made available an Information Document in reliance on an exemption from prospectus requirements that may otherwise apply to the offer of the ESPP in France. The Information Document is attached hereto as Exhibit C.</w:t>
      </w:r>
    </w:p>
    <w:p>
      <w:pPr>
        <w:pStyle w:val="TextBody"/>
        <w:bidi w:val="0"/>
        <w:spacing w:lineRule="auto" w:line="288" w:before="0" w:after="0"/>
        <w:jc w:val="both"/>
        <w:rPr/>
      </w:pPr>
      <w:r>
        <w:rPr>
          <w:rFonts w:ascii="Times New Roman;serif" w:hAnsi="Times New Roman;serif"/>
          <w:b/>
          <w:color w:val="000000"/>
          <w:sz w:val="24"/>
        </w:rPr>
        <w:t>French Translation</w:t>
      </w:r>
      <w:r>
        <w:rPr>
          <w:rFonts w:ascii="Times New Roman;serif" w:hAnsi="Times New Roman;serif"/>
          <w:b w:val="false"/>
          <w:color w:val="000000"/>
          <w:sz w:val="24"/>
        </w:rPr>
        <w:t>. The following is a French translation of Section 2 of the Global Subscription Agreement:</w:t>
      </w:r>
    </w:p>
    <w:p>
      <w:pPr>
        <w:pStyle w:val="TextBody"/>
        <w:bidi w:val="0"/>
        <w:spacing w:lineRule="auto" w:line="288" w:before="240" w:after="240"/>
        <w:jc w:val="both"/>
        <w:rPr/>
      </w:pPr>
      <w:r>
        <w:rPr>
          <w:rFonts w:ascii="Times New Roman;serif" w:hAnsi="Times New Roman;serif"/>
          <w:b/>
          <w:i/>
          <w:color w:val="000000"/>
          <w:sz w:val="24"/>
        </w:rPr>
        <w:t>Montant de la Contribution</w:t>
      </w:r>
      <w:r>
        <w:rPr>
          <w:rFonts w:ascii="Times New Roman;serif" w:hAnsi="Times New Roman;serif"/>
          <w:b w:val="false"/>
          <w:i/>
          <w:color w:val="000000"/>
          <w:sz w:val="24"/>
        </w:rPr>
        <w:t>. Par la présente, j’autorise des déductions sur mon salaire d’un pourcentage de ma Rémunération (de 1% à 15%) sur chacune de mes fiches de paie de chaque jour de paie, tel qu’indiqué sur la page de souscription en ligne (et, comme j'ai la possibilité de modifier, dans la mesure permise par le Plan d'Achat d'Actions et de l'Administrateur), et ce durant toute la Période d’Offre en vertu du Plan d’Achat d’Actions. (Merci de noter qu’aucune décimale n’est autorisée dans les pourcentages). Je reconnais qu'un pourcentage de ma Rémunération inférieur à celui indiqué par moi peut être cotisé si nécessaire pour se conformer aux lois applicables (en particulier les lois applicables relatives aux exigences de salaire minimum).</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Je comprends que le Plan d’Achat d’Actions est un régime volontaire et je reconnais que toutes les retenues salariales que je choisis de cotiser à le Plan d’Achat d’Actions sont effectuées sur une base entièrement volontaire. Je comprends que ces déductions opérées sur mon salaire seront accumulées pour l’achat des Actions au Prix d’Achat applicable déterminé en vertu du Plan d’Achat d’Actions. Je comprends également que, sous réserve des dispositions du Plan d’Achat d’Actions, je peux modifier le taux de mes retenues salariales ou librement me retirer de la participation au Plan d’Achat d’Actions (par le biais du processus électronique désigné par la Société) et recevoir un remboursement intégral de toutes les contributions volontaires que j'ai versées dans le cadre de le Plan d’Achat d’Actions qui n'ont pas été affectées à l'achat d'Actions. Enfin, je comprends que si je ne me retire pas durant la Période d’Offre, toute accumulation de déductions sur mon salaire serait automatiquement utilisée pour exercer mon option et acheter des Actions en vertu du Plan d’Achat d’Actions.</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À moins que je ne me retire du Plan d'Achat d'Actions, ou que je ne devienne inéligible au Plan d'Achat d'Actions, ou à moins que le Plan d'Achat d'Actions ne soit dénoncé par la Société, je continuerai à souscrire au Plan d'Achat d'Actions au cours des Périodes d'Offres suivantes et les Actions seront acquises en mon nom à la Date d'Exercice applicable avec le montant total des déductions effectuées sur mon salaire. La souscription au Plan d'Achat d'Actions continuera d'être régie par cet Accord et le Plan d'Achat d'Actions. A sa discrétion et dans la mesure permise par le Plan d'Achat d'Actions, la Société pourra modifier le Plan d'Achat d'Actions et/ou cet Accord, et en continuant à souscrire au Plan d'Achat d'Actions, sans avoir besoin de fournir un consentement exprès, j'accepte les termes et conditions du Plan d'Achat d'Actions modifié et/ou de l'Accord.</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J'accepte de signer un accord de participation distinct avec la Société ou l'Employeur (tel que défini ci-dessous), ou tout autre accord ou consentement qui pourrait être requis par la Société ou l'Employeur dans le cadre de cette autorisation, maintenant ou à l'avenir. Je comprends que je ne pourrai pas participer à le Plan d’Achat d’Actions si je n'exécute pas un tel consentement ou accord.</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enrolling in the ESPP, I confirm having read and understood the documents relating to the grant of the option to purchase shares of Common Stock under the ESPP, which were provided in the English language. I accept the terms of those documents accordingly.</w:t>
      </w:r>
    </w:p>
    <w:p>
      <w:pPr>
        <w:pStyle w:val="TextBody"/>
        <w:bidi w:val="0"/>
        <w:spacing w:lineRule="auto" w:line="288" w:before="240" w:after="240"/>
        <w:jc w:val="both"/>
        <w:rPr/>
      </w:pPr>
      <w:r>
        <w:rPr>
          <w:rFonts w:ascii="Times New Roman;serif" w:hAnsi="Times New Roman;serif"/>
          <w:b/>
          <w:i/>
          <w:color w:val="000000"/>
          <w:sz w:val="24"/>
        </w:rPr>
        <w:t>Accord sur la langue</w:t>
      </w:r>
      <w:r>
        <w:rPr>
          <w:rFonts w:ascii="Times New Roman;serif" w:hAnsi="Times New Roman;serif"/>
          <w:b w:val="false"/>
          <w:i/>
          <w:color w:val="000000"/>
          <w:sz w:val="24"/>
        </w:rPr>
        <w:t>. En souscrivant au Plan d’Achat d’Actions, je confirme avoir lu et compris les documents en lien avec l’octroi du droit d’acquérir des actions en vertu du Plan d’Achat d’Actions, lesquels m’ont été communiqués en langue anglaise. J’accepte les termes de ces documents en connaissance de cause.</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GERMANY</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Germany. The Information Document is attached hereto as Exhibit C.</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Certain cross-border transactions in excess of a certain threshold (currently €50,000) (the “Threshold”) must be reported to the German Federal Bank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If I make or receive a payment in excess of the Threshold (including if I acquire shares of Common Stock under the ESPP with a value in excess of the Threshold or sell shares of Common Stock via a foreign broker, bank or service provider and receive proceeds in excess of the Threshold) and/or if the Company withholds or sells shares of Common Stock with a value in excess of the Threshold to cover Tax-Related Items, I must report the payment and/or the value of the shares of Common Stock withheld or sold to the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either electronically using the “General Statistics Reporting Portal” (“Allgemeine Meldeportal Statistik”) available via the </w:t>
      </w:r>
      <w:r>
        <w:rPr>
          <w:rFonts w:ascii="Times New Roman;serif" w:hAnsi="Times New Roman;serif"/>
          <w:b w:val="false"/>
          <w:i/>
          <w:color w:val="000000"/>
          <w:sz w:val="24"/>
        </w:rPr>
        <w:t>Bundesbank’s</w:t>
      </w:r>
      <w:r>
        <w:rPr>
          <w:color w:val="000000"/>
        </w:rPr>
        <w:t xml:space="preserve"> </w:t>
      </w:r>
      <w:r>
        <w:rPr>
          <w:rFonts w:ascii="Times New Roman;serif" w:hAnsi="Times New Roman;serif"/>
          <w:b w:val="false"/>
          <w:color w:val="000000"/>
          <w:sz w:val="24"/>
        </w:rPr>
        <w:t>website (</w:t>
      </w:r>
      <w:r>
        <w:rPr>
          <w:rFonts w:ascii="Times New Roman;serif" w:hAnsi="Times New Roman;serif"/>
          <w:b w:val="false"/>
          <w:color w:val="000000"/>
          <w:sz w:val="24"/>
          <w:u w:val="single"/>
        </w:rPr>
        <w:t>www.bundesbank.de</w:t>
      </w:r>
      <w:r>
        <w:rPr>
          <w:rFonts w:ascii="Times New Roman;serif" w:hAnsi="Times New Roman;serif"/>
          <w:b w:val="false"/>
          <w:color w:val="000000"/>
          <w:sz w:val="24"/>
        </w:rPr>
        <w:t>) or via such other method (</w:t>
      </w:r>
      <w:r>
        <w:rPr>
          <w:rFonts w:ascii="Times New Roman;serif" w:hAnsi="Times New Roman;serif"/>
          <w:b w:val="false"/>
          <w:i/>
          <w:color w:val="000000"/>
          <w:sz w:val="24"/>
        </w:rPr>
        <w:t>e.g.</w:t>
      </w:r>
      <w:r>
        <w:rPr>
          <w:rFonts w:ascii="Times New Roman;serif" w:hAnsi="Times New Roman;serif"/>
          <w:b w:val="false"/>
          <w:color w:val="000000"/>
          <w:sz w:val="24"/>
        </w:rPr>
        <w:t xml:space="preserve">, by email or telephone) as is permitted or required by the </w:t>
      </w:r>
      <w:r>
        <w:rPr>
          <w:rFonts w:ascii="Times New Roman;serif" w:hAnsi="Times New Roman;serif"/>
          <w:b w:val="false"/>
          <w:i/>
          <w:color w:val="000000"/>
          <w:sz w:val="24"/>
        </w:rPr>
        <w:t>Bundesbank</w:t>
      </w:r>
      <w:r>
        <w:rPr>
          <w:rFonts w:ascii="Times New Roman;serif" w:hAnsi="Times New Roman;serif"/>
          <w:b w:val="false"/>
          <w:color w:val="000000"/>
          <w:sz w:val="24"/>
        </w:rPr>
        <w:t xml:space="preserve">. The report must be submitted monthly or within other such timing as is permitted or required by the </w:t>
      </w:r>
      <w:r>
        <w:rPr>
          <w:rFonts w:ascii="Times New Roman;serif" w:hAnsi="Times New Roman;serif"/>
          <w:b w:val="false"/>
          <w:i/>
          <w:color w:val="000000"/>
          <w:sz w:val="24"/>
        </w:rPr>
        <w:t>Bundesbank</w:t>
      </w:r>
      <w:r>
        <w:rPr>
          <w:rFonts w:ascii="Times New Roman;serif" w:hAnsi="Times New Roman;serif"/>
          <w:b w:val="false"/>
          <w:color w:val="000000"/>
          <w:sz w:val="24"/>
        </w:rPr>
        <w:t>. I understand I am responsible for complying with applicable reporting requirements.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GREECE</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GUERNSEY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HONG KONG</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w:t>
      </w:r>
      <w:r>
        <w:rPr>
          <w:rFonts w:ascii="Times New Roman;serif" w:hAnsi="Times New Roman;serif"/>
          <w:b/>
          <w:color w:val="000000"/>
          <w:sz w:val="24"/>
        </w:rPr>
        <w:t>Warning</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The option to purchase shares of Common Stock and the issuance of shares of Common Stock upon purchase do not constitute a public offer of securities under Hong Kong law and are available only to Eligible Employees. The ESPP, the Agreement, this Appendix and other incidental communication materials that I may receive have not been prepared in accordance with and are not intended to constitute a “prospectus” for a public offering of securities under applicable securities laws in Hong Kong. Furthermore, none of the documents relating to the ESPP have been reviewed by any regulatory authority in Hong Kong. I understand that I should exercise caution in relation to the offer. If I am in any doubt about any of the contents of the ESPP, the Agreement, this Appendix or any other communication materials, I should obtain independent professional advice.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HUNGARY</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understand that as a condition of my participation in the ESPP, I will be required to 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for Deduction form on next page)</w:t>
      </w:r>
    </w:p>
    <w:p>
      <w:pPr>
        <w:pStyle w:val="TextBody"/>
        <w:bidi w:val="0"/>
        <w:spacing w:before="56"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32"/>
        <w:gridCol w:w="1436"/>
        <w:gridCol w:w="1439"/>
        <w:gridCol w:w="109"/>
        <w:gridCol w:w="109"/>
        <w:gridCol w:w="109"/>
        <w:gridCol w:w="1571"/>
        <w:gridCol w:w="1571"/>
        <w:gridCol w:w="2229"/>
      </w:tblGrid>
      <w:tr>
        <w:trPr/>
        <w:tc>
          <w:tcPr>
            <w:tcW w:w="16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CONSENT FOR 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2"/>
                <w:u w:val="single"/>
              </w:rPr>
            </w:pPr>
            <w:r>
              <w:rPr>
                <w:rFonts w:ascii="Times New Roman;serif" w:hAnsi="Times New Roman;serif"/>
                <w:b/>
                <w:color w:val="000000"/>
                <w:sz w:val="22"/>
                <w:u w:val="single"/>
              </w:rPr>
              <w:t>HOZZÁJÁRULÁS LEVONÁSHOZ</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 the undersigned, in order to participate in the Palo Alto Networks, Inc. 2012 Employee Stock Purchase Plan (“ESPP”), authorize my employer to withhold payroll deductions in the amount of my Compensation I indicated on the online enrollment page, or such other percentage as subsequently selected by me under the ESPP. I understand that this amount must not be less than 1% and not more than 15% of my Compensation for any purchase period with the reservation that the deductions are made in accordance with the applicable provisions of the Hungarian labor law.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Alulírott, a Palo Alto Networks, Inc. 2012 Munkavállalói Részvényvásárlási Programjában (“Program”) való részvételem érdekében felhatalmazom a munkáltatóm, hogy a nettó munkabéremből levonja a Kompenzációmnak</w:t>
            </w:r>
            <w:r>
              <w:rPr>
                <w:color w:val="000000"/>
                <w:u w:val="single"/>
              </w:rPr>
              <w:t xml:space="preserve"> </w:t>
            </w:r>
            <w:r>
              <w:rPr>
                <w:rFonts w:ascii="Times New Roman;serif" w:hAnsi="Times New Roman;serif"/>
                <w:b w:val="false"/>
                <w:color w:val="000000"/>
                <w:sz w:val="22"/>
              </w:rPr>
              <w:t>az általam az online jelentkezési oldalon megjelölt összegét, vagy az általam a Program ideje alatt a későbbiekben meghatározott százalékát. Tudomásul veszem, hogy ez az összeg nem lehet kevesebb, mint a Kompenzációm egy százaléka és nem haladhatja meg annak tizenöt százalékát egyetlen vásárlási időszakban sem, feltéve, hogy a levonások a magyar munkajog vonatkozó rendelkezéseinek megfelelően történtek.</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 acknowledge and agree that any past payroll deductions from my Compensation with respect to my participation in the ESPP complied with Hungarian law and that I authorized all such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Tudomásul veszem és elfogadom, hogy a Kompenzációmból korábban a Programban való részvételemre tekintettel teljesített levonások a magyar jogszabályoknak megfelelően történtek, és ezen levonásokhoz hozzájárultam.</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All the terms written in capital letters shall have the meanings given to them in the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Valamennyi nagybetűs fogalom a Programban meghatározott jelentéssel bír.</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2"/>
              </w:rPr>
            </w:pPr>
            <w:r>
              <w:rPr>
                <w:rFonts w:ascii="Times New Roman;serif" w:hAnsi="Times New Roman;serif"/>
                <w:b w:val="false"/>
                <w:color w:val="000000"/>
                <w:sz w:val="22"/>
              </w:rPr>
              <w:t>In case of any discrepancies between the Hungarian language version of this document and its English language version, the Hungarian language version shall prevail.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Jelen dokumentum magyar és angol nyelvű változata közötti bármilyen eltérés esetén a magyar nyelvű változat az irányadó.</w:t>
            </w:r>
          </w:p>
        </w:tc>
      </w:tr>
      <w:tr>
        <w:trPr/>
        <w:tc>
          <w:tcPr>
            <w:tcW w:w="4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INDIA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Tax Collection at Source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By enrolling and participating in the ESPP, I understand that Tax Collection at Source (“TCS”) may apply to funds remitted out of India if the funds exceed a certain amount (currently, INR 1,000,000) during the Indian fiscal year (“TCS Threshold”). Therefore, my annual remittances out of India, including my payroll deductions contributed under the ESPP, may be subject to TCS. Depending on the procedures established by the Employer and the bank remitting the funds out of India, I understand and agree that the Company or the Employer may deduct any applicable TCS via any withholding method set forth in Section 4 of the Global Subscription Agreement. If any applicable TCS is not deducted via any withholding method set forth in Section 4 of the Global Subscription Agreement, I understand that the Employer or the bank may collect any applicable TCS from my contributed payroll deductions and remit the remaining payroll deductions to the Company which may impact the number of shares of Common Stock that I will be able to purchase with my payroll deductions under the ESPP. I understand that I may be required to provide a declaration to the Employer or the bank remitting the funds regarding whether the TCS Threshold has been reached based on all my remittances out of India, including payroll deductions contributed under the ESPP, and I agree to provide such declaration upon request.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understand that I must repatriate any proceeds from the sale of shares of Common Stock purchased under the ESPP and any dividends received in relation to the shares of Common Stock to India and convert the proceeds into local currency within such period of time as required under applicable regulations. I should obtain a foreign inward remittance certificate (the “FIRC”) from the bank where I deposit the foreign currency and maintain the FIRC as evidence of the repatriation of funds in the event the Reserve Bank of India or the Employer requests proof of repatriation. I also agree to provide any information that may be required by the Company or the Employer to make any applicable filings under exchange control laws in India.</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INDONESIA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xml:space="preserve">. By enrolling and participating in the ESPP, I (i) confirm having read and understood the documents relating to the grant (i.e., the ESPP and the Agreement) which were provided in the English language, (ii) accept the terms of those documents accordingly, and (iii) agree not to challenge the validity of this document based on Law No. 24 of 2009 on National Flag, Language, Coat of Arms and National Anthem or the implementing Presidential Regulation. </w:t>
      </w:r>
    </w:p>
    <w:p>
      <w:pPr>
        <w:pStyle w:val="TextBody"/>
        <w:bidi w:val="0"/>
        <w:spacing w:lineRule="auto" w:line="288" w:before="240" w:after="240"/>
        <w:jc w:val="both"/>
        <w:rPr/>
      </w:pPr>
      <w:r>
        <w:rPr>
          <w:rFonts w:ascii="Times New Roman;serif" w:hAnsi="Times New Roman;serif"/>
          <w:b/>
          <w:i/>
          <w:color w:val="000000"/>
          <w:sz w:val="24"/>
        </w:rPr>
        <w:t>Persetujuan Bahasa</w:t>
      </w:r>
      <w:r>
        <w:rPr>
          <w:rFonts w:ascii="Times New Roman;serif" w:hAnsi="Times New Roman;serif"/>
          <w:b w:val="false"/>
          <w:i/>
          <w:color w:val="000000"/>
          <w:sz w:val="24"/>
        </w:rPr>
        <w:t>. Dengan mendaftar dan ikut serta dalam ESPP, saya (i) memberikan konfirmasi bahwa saya telah membaca dan memahami dokumen-dokumen berkaitan dengan pemberian ini (yaitu, ESPP dan Perjanjian) yang disediakan dalam Bahasa Inggris, (ii) menerima persyaratan di dalam dokumen-dokumen tersebut, dan (iii) setuju untuk tidak mengajukan keberatan atas keberlakuan dari dokumen ini berdasarkan Undang-Undang No. 24 Tahun 2009 tentang Bendera, Bahasa dan Lambang Negara serta Lagu Kebangsaan ataupun Peraturan Presiden sebagai pelaksanaannya.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xml:space="preserve">. Indonesian residents are obliged to provide the Indonesian central bank (Bank Indonesia) with information on foreign exchange activities. The reporting must be completed online through Bank Indonesia’s website, no later than the 15th day of the month following the month in which the foreign exchange activity took place. </w:t>
      </w:r>
    </w:p>
    <w:p>
      <w:pPr>
        <w:pStyle w:val="TextBody"/>
        <w:bidi w:val="0"/>
        <w:spacing w:lineRule="auto" w:line="288" w:before="240" w:after="240"/>
        <w:jc w:val="both"/>
        <w:rPr/>
      </w:pPr>
      <w:r>
        <w:rPr>
          <w:rFonts w:ascii="Times New Roman;serif" w:hAnsi="Times New Roman;serif"/>
          <w:b w:val="false"/>
          <w:color w:val="000000"/>
          <w:sz w:val="24"/>
        </w:rPr>
        <w:t>In addition, if I remit funds into or out of Indonesia (</w:t>
      </w:r>
      <w:r>
        <w:rPr>
          <w:rFonts w:ascii="Times New Roman;serif" w:hAnsi="Times New Roman;serif"/>
          <w:b w:val="false"/>
          <w:i/>
          <w:color w:val="000000"/>
          <w:sz w:val="24"/>
        </w:rPr>
        <w:t>e.g</w:t>
      </w:r>
      <w:r>
        <w:rPr>
          <w:rFonts w:ascii="Times New Roman;serif" w:hAnsi="Times New Roman;serif"/>
          <w:b w:val="false"/>
          <w:color w:val="000000"/>
          <w:sz w:val="24"/>
        </w:rPr>
        <w:t>., proceeds from the sale of shares of Common Stock), the Indonesian Bank through which the transaction is made will submit a report of the transaction to the Bank of Indonesia for statistical reporting purposes. For transactions that equal or exceed a certain threshold (currently US $10,000), a description of the transaction must be included in the report.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IRELAND</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Director Notification Obligation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Directors, shadow directors or secretaries of an Irish Subsidiary must notify the Irish Subsidiary in writing if they receive or dispose of an interest in the Company representing more than 1% of the Company’s voting share capital (</w:t>
      </w:r>
      <w:r>
        <w:rPr>
          <w:rFonts w:ascii="Times New Roman;serif" w:hAnsi="Times New Roman;serif"/>
          <w:b w:val="false"/>
          <w:i/>
          <w:color w:val="000000"/>
          <w:sz w:val="24"/>
        </w:rPr>
        <w:t>e.g.</w:t>
      </w:r>
      <w:r>
        <w:rPr>
          <w:rFonts w:ascii="Times New Roman;serif" w:hAnsi="Times New Roman;serif"/>
          <w:b w:val="false"/>
          <w:color w:val="000000"/>
          <w:sz w:val="24"/>
        </w:rPr>
        <w:t>, right to purchase shares of Common Stock under the ESPP, shares, etc.), if they become aware of the event giving rise to the notification requirement or if they become a director or secretary if such an interest exists at the time. This notification requirement also applies with respect to the interests of the spouse or children under the age of 18 of the director, shadow director or secretary (whose interests will be attributed to the director, shadow director or secretary).</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ISRAEL</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lineRule="auto" w:line="288" w:before="240" w:after="240"/>
        <w:jc w:val="both"/>
        <w:rPr/>
      </w:pPr>
      <w:r>
        <w:rPr>
          <w:rFonts w:ascii="Times New Roman;serif" w:hAnsi="Times New Roman;serif"/>
          <w:b/>
          <w:color w:val="000000"/>
          <w:sz w:val="24"/>
        </w:rPr>
        <w:t>Israeli Appendix</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 acknowledge and agree that the offer of the ESPP is subject to the terms and conditions of the Appendix - Israeli Taxpayers to the ESPP, which has been provided or otherwise made available to me.</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ITALY</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 xml:space="preserve">Terms and Conditions </w:t>
      </w:r>
    </w:p>
    <w:p>
      <w:pPr>
        <w:pStyle w:val="TextBody"/>
        <w:bidi w:val="0"/>
        <w:spacing w:lineRule="auto" w:line="288" w:before="240" w:after="240"/>
        <w:jc w:val="both"/>
        <w:rPr/>
      </w:pPr>
      <w:r>
        <w:rPr>
          <w:rFonts w:ascii="Times New Roman;serif" w:hAnsi="Times New Roman;serif"/>
          <w:b/>
          <w:color w:val="000000"/>
          <w:sz w:val="24"/>
        </w:rPr>
        <w:t>ESPP Document Acknowledgment</w:t>
      </w:r>
      <w:r>
        <w:rPr>
          <w:rFonts w:ascii="Times New Roman;serif" w:hAnsi="Times New Roman;serif"/>
          <w:b w:val="false"/>
          <w:color w:val="000000"/>
          <w:sz w:val="24"/>
        </w:rPr>
        <w:t>. In participating in the ESPP, I acknowledge that I have received a copy of the ESPP and the Agreement and have reviewed the ESPP and the Agreement, including this Appendix, in their entirety and fully understand and accept all provisions of the ESPP and the Agreement. I further acknowledge that I have read and specifically and expressly approve the following sections of the Global Subscription Agreement: Section 4 - Responsibility for Taxes; Section 5 - Nature of Grant; Section 7 - Governing Law; Section 8 - Language; Section 9 - Electronic Delivery and Acceptance; Section 10 - Severability; and the Data Privacy Provisions for Participants who reside in European Union / European Economic Area member states, Switzerland and the United Kingdom above in this Appendix.</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JAPAN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KOREA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Power of Attorney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so requested by the Company or the Employer, I understand that I must print, sign and return a Power of Attorney in a form provided to me by the Company or the Employer to my local human resources representative in order to participate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Korean residents may need to file a report with a Korean foreign exchange bank if the Korean resident sells shares of Common Stock acquired under the ESPP and/or receives cash dividends in excess of a certain threshold (currently US$5,000) (per transaction) and deposits the proceeds into a non-Korean bank account. The reporting is not required if proceeds are deposited into a non-Korean brokerage account. I am responsible for complying with any applicable exchange control reporting obligations in Korea and I should consult my personal legal advisor to determine my personal reporting obligations.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LATVIA</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LUXEMBOURG</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MALAYSIA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Data Privacy</w:t>
      </w:r>
      <w:r>
        <w:rPr>
          <w:rFonts w:ascii="Times New Roman;serif" w:hAnsi="Times New Roman;serif"/>
          <w:b w:val="false"/>
          <w:color w:val="000000"/>
          <w:sz w:val="24"/>
        </w:rPr>
        <w:t>. This provision replaces the Data Privacy Provisions for Participants who reside outside of European Union / European Economic Area member states, Switzerland and the United Kingdom above in this Appendix: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16"/>
        <w:gridCol w:w="1074"/>
        <w:gridCol w:w="1078"/>
        <w:gridCol w:w="109"/>
        <w:gridCol w:w="109"/>
        <w:gridCol w:w="109"/>
        <w:gridCol w:w="2572"/>
        <w:gridCol w:w="1048"/>
        <w:gridCol w:w="1490"/>
      </w:tblGrid>
      <w:tr>
        <w:trPr/>
        <w:tc>
          <w:tcPr>
            <w:tcW w:w="261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 xml:space="preserve">I consent to the collection, use and transfer, in electronic or other form, of my personal data as described in the Global Subscription Agreement and any other Plan grant materials by and among, as applicable, the Employer, the Company and any other Subsidiary or Affiliate or any third parties authorized by the same in assisting in the implementation, administration and management of my participation in the ESPP.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Saya bersetuju dengan pengumpulan, penggunaan dan pemindahan, dalam bentuk elektronik atau lain-lain, data peribadi saya seperti yang dinyatakan dalam Perjanjian Langganan dan apa-apa bahan geran Pelan oleh dan di antara, sebagaimana yang berkenaan, Majikan, Syarikat dan mana-mana Anak Syarikat atau Syarikat Sekutu atau mana-mana pihak ketiga yang diberi kuasa oleh yang sama untuk membantu dalam pelaksanaan, pentadbiran dan pengurusan penyertaan saya dalam Pelan.</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 xml:space="preserve">I may have previously provided the Company and the Employer with, and the Company and the Employer may hold, certain personal information about me, including, but not limited to, my name, home address, email address and telephone number, date of birth, social insurance number, passport or other identification number, salary, nationality, job title, any shares of stock or directorships held in the Company, the fact and conditions of my participation in the ESPP, details of all options or any other entitlement to shares awarded, cancelled, exercised, vested, unvested or outstanding in my favor (“Data”), for the exclusive purpose of implementing, administering and managing the ESPP.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Sebelum ini, saya mungkin telah membekalkan Syarikat dan Majikan dengan, dan Syarikat dan Majikan mungkin memegang, maklumat peribadi tertentu tentang saya, termasuk, tetapi tidak terhad kepada, nama saya, alamat rumah, alamat emel dan nombor telefon, tarikh lahir, nombor insurans sosial, pasport atau nombor pengenalan lain, gaji, kewarganegaraan, jawatan, apa-apa syer atau saham atau jawatan pengarah yang dipegang dalam Syarikat, fakta dan syarat-syarat penyertaan saya dalam Pelan, butir-butir semua opsyen atau apa-apa hak lain untukSyer yang dianugerahkan, dibatalkan, dilaksanakan, terletak hak, tidak diletak hak ataupun yang belum dijelaskan bagi faedah saya  (“Data”), untuk tujuan eksklusif bagi melaksanakan, mentadbir dan menguruskan Pelan.</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i/>
                <w:color w:val="000000"/>
                <w:sz w:val="22"/>
              </w:rPr>
              <w:t>I also authorize any transfer of Data, as may be required, to E*TRADE Financial Services, Inc. and its affiliates (“E*TRADE”) or such designated broker which may be assisting the Company with the implementation, administration and management of the ESPP in the future and with whom any shares acquired upon exercise of the options are deposited. I acknowledge that these recipients may be located in my country or elsewhere, and that the recipient’s country (</w:t>
            </w:r>
            <w:r>
              <w:rPr>
                <w:rFonts w:ascii="Times New Roman;serif" w:hAnsi="Times New Roman;serif"/>
                <w:b w:val="false"/>
                <w:color w:val="000000"/>
                <w:sz w:val="22"/>
              </w:rPr>
              <w:t>e.g.</w:t>
            </w:r>
            <w:r>
              <w:rPr>
                <w:rFonts w:ascii="Times New Roman;serif" w:hAnsi="Times New Roman;serif"/>
                <w:b w:val="false"/>
                <w:i/>
                <w:color w:val="000000"/>
                <w:sz w:val="22"/>
              </w:rPr>
              <w:t xml:space="preserve">, the United States) may have different data privacy laws and protections to my country, which may not give the same level of protection to Data. I understand that I may request a list with the names and addresses of any potential recipients of Data by contacting my local human resources representative. I authorize the Company, E*TRADE and any other possible recipients which may assist the Company (presently or in the future) with implementing, administering and managing my participation in the ESPP to receive, possess, use, retain and transfer Data, in electronic or other form, for the sole purpose of implementing, administering and managing my participation in the ESPP. I understand that Data will be held only as long as is necessary to implement, administer and manage my participation in the ESPP. I understand that I may, at any time, view Data, request additional information about the storage and processing of Data, require any necessary amendments to Data or refuse or withdraw the consents herein, in any case, without cost, by contacting in writing my local human resources representative, whose contact details are </w:t>
            </w:r>
            <w:r>
              <w:rPr>
                <w:rFonts w:ascii="Times New Roman;serif" w:hAnsi="Times New Roman;serif"/>
                <w:b w:val="false"/>
                <w:i/>
                <w:color w:val="000000"/>
                <w:sz w:val="22"/>
                <w:u w:val="single"/>
              </w:rPr>
              <w:t>equity@paloaltonetworks.com</w:t>
            </w:r>
            <w:r>
              <w:rPr>
                <w:rFonts w:ascii="Times New Roman;serif" w:hAnsi="Times New Roman;serif"/>
                <w:b w:val="false"/>
                <w:i/>
                <w:color w:val="000000"/>
                <w:sz w:val="22"/>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
              <w:jc w:val="both"/>
              <w:rPr/>
            </w:pPr>
            <w:r>
              <w:rPr>
                <w:rFonts w:ascii="Times New Roman;serif" w:hAnsi="Times New Roman;serif"/>
                <w:b w:val="false"/>
                <w:i/>
                <w:color w:val="000000"/>
                <w:sz w:val="22"/>
              </w:rPr>
              <w:t xml:space="preserve">Saya juga memberi kuasa untuk membuat apa-apa pemindahan Data, sebagaimana yang diperlukan, kepada E*TRADE Financial Services, Inc. dan syarikat sekutunya (“E*TRADE”) atau broker yang ditetapkan yang mungkin membantu Syarikat dalam pelaksanaan, pentadbiran dan pengurusan Pelan pada masa depan dan dengan sesiapa yang didepositkan dengan Syer-syer yang diperolehi melalui pelaksanaan opsyen. Saya mengakui bahawa penerima-penerima ini mungkin berada di negara saya atau di tempat lain, dan bahawa negara penerima (contohnya, Amerika Syarikat) mungkin mempunyai undang-undang privasi data dan perlindungan yang berbeza daripada negara saya, yang mungkin tidak boleh memberi tahap perlindungan yang sama kepada Data. Saya faham bahawa saya boleh meminta senarai nama dan alamat mana-mana penerima Data yang berpotensi dengan menghubungi wakil sumber manusia tempatan saya. Saya memberi kuasa kepada Syarikat, E*TRADE dan mana-mana penerima lain yang mungkin membantu Syarikat (masa sekarang atau pada masa depan) dengan melaksanakan, mentadbir dan menguruskan penyertaan saya dalam Pelan untuk menerima, memiliki, menggunakan, mengekalkan dan memindahkan Data, dalam bentuk elektronik atau lain-lain, semata-mata dengan tujuan tunggal untuk melaksanakan, mentadbir dan menguruskan penyertaan saya dalam Pelan. Saya faham bahawa Data akan dipegang hanya untuk tempoh yang diperlukan untuk melaksanakan, mentadbir dan menguruskan penyertaan saya dalam Pelan. Saya faham bahawa saya boleh, pada bila-bila masa, melihat Data, meminta maklumat tambahan mengenai penyimpanan dan pemprosesan Data, meminta apa-apa pindaan-pindaan dilaksanakan ke atas Data atau menolak atau menarik balik persetujuan dalam ini, dalam mana-mana kes, tanpa kos, dengan menghubungi </w:t>
            </w:r>
            <w:r>
              <w:rPr>
                <w:rFonts w:ascii="Times New Roman;serif" w:hAnsi="Times New Roman;serif"/>
                <w:b w:val="false"/>
                <w:i/>
                <w:color w:val="000000"/>
                <w:sz w:val="22"/>
                <w:u w:val="single"/>
              </w:rPr>
              <w:t>equity@paloaltonetworks.com</w:t>
            </w:r>
            <w:r>
              <w:rPr>
                <w:rFonts w:ascii="Times New Roman;serif" w:hAnsi="Times New Roman;serif"/>
                <w:b w:val="false"/>
                <w:i/>
                <w:color w:val="000000"/>
                <w:sz w:val="22"/>
              </w:rPr>
              <w:t>.</w:t>
            </w:r>
          </w:p>
        </w:tc>
      </w:tr>
      <w:tr>
        <w:trPr/>
        <w:tc>
          <w:tcPr>
            <w:tcW w:w="476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i/>
                <w:color w:val="000000"/>
                <w:sz w:val="22"/>
              </w:rPr>
            </w:pPr>
            <w:r>
              <w:rPr>
                <w:rFonts w:ascii="Times New Roman;serif" w:hAnsi="Times New Roman;serif"/>
                <w:b w:val="false"/>
                <w:i/>
                <w:color w:val="000000"/>
                <w:sz w:val="22"/>
              </w:rPr>
              <w:t>Further, I understand that I am providing the consents herein on a purely voluntary basis. If I do not consent, or if I later seek to revoke my consent, my employment status or service with the Employer will not be affected; the only consequence of refusing or withdrawing my consent is that the Company would not be able to grant future options or other equity awards to me or administer or maintain such awards. Therefore, I understand that refusing or withdrawing my consent may affect my ability to participate in the ESPP. For more information on the consequences of my refusal to consent or withdrawal of consent, I understand that I may contact my local human resources representative.</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i/>
                <w:color w:val="000000"/>
                <w:sz w:val="22"/>
              </w:rPr>
            </w:pPr>
            <w:r>
              <w:rPr>
                <w:rFonts w:ascii="Times New Roman;serif" w:hAnsi="Times New Roman;serif"/>
                <w:b w:val="false"/>
                <w:i/>
                <w:color w:val="000000"/>
                <w:sz w:val="22"/>
              </w:rPr>
              <w:t>Selanjutnya, saya memahami bahawa saya memberikan persetujuan di sini secara sukarela. Jika saya tidak bersetuju, atau jika saya kemudian membatalkan persetujuan saya, status pekerjaan atau perkhidmatan saya dengan Majikan tidak akan terjejas; satu-satunya akibat jika saya tidak bersetuju atau menarik balik persetujuan saya adalah bahawa Syarikat tidak akan dapat memberikan opsyen pada masa depan atau anugerah ekuiti lain kepada saya atau mentadbir atau mengekalkan anugerah tersebut. Oleh itu, saya faham bahawa keengganan atau penarikan balik persetujuan saya boleh menjejaskan keupayaan saya untuk mengambil bahagian dalam Pelan. Untuk maklumat lanjut mengenai akibat keengganan saya untuk memberikan keizinan atau penarikan balik keizinan, saya fahami bahawa saya boleh menghubungi wakil sumber manusia tempatan saya.</w:t>
            </w:r>
          </w:p>
        </w:tc>
      </w:tr>
    </w:tbl>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Director Notification Obligation</w:t>
      </w:r>
      <w:r>
        <w:rPr>
          <w:rFonts w:ascii="Times New Roman;serif" w:hAnsi="Times New Roman;serif"/>
          <w:b w:val="false"/>
          <w:color w:val="000000"/>
          <w:sz w:val="24"/>
        </w:rPr>
        <w:t>. Malaysian resident participants who are directors of a Malaysian Subsidiary or Afilliate are subject to certain notification requirements under the Malaysian Companies Act 2016. Among these requirements is an obligation to notify the Malaysian Subsidiary or Afilliate in writing when receiving or disposing of an interest (</w:t>
      </w:r>
      <w:r>
        <w:rPr>
          <w:rFonts w:ascii="Times New Roman;serif" w:hAnsi="Times New Roman;serif"/>
          <w:b w:val="false"/>
          <w:i/>
          <w:color w:val="000000"/>
          <w:sz w:val="24"/>
        </w:rPr>
        <w:t>e.g.</w:t>
      </w:r>
      <w:r>
        <w:rPr>
          <w:rFonts w:ascii="Times New Roman;serif" w:hAnsi="Times New Roman;serif"/>
          <w:b w:val="false"/>
          <w:color w:val="000000"/>
          <w:sz w:val="24"/>
        </w:rPr>
        <w:t>, purchase rights, shares, etc.) in the Company or any related company. This notification must be made within 14 days of receiving or disposing of any interest in the Company or any related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MEXICO</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Acknowledgement of the Agreement</w:t>
      </w:r>
      <w:r>
        <w:rPr>
          <w:rFonts w:ascii="Times New Roman;serif" w:hAnsi="Times New Roman;serif"/>
          <w:b w:val="false"/>
          <w:color w:val="000000"/>
          <w:sz w:val="24"/>
        </w:rPr>
        <w:t>. By enrolling and participating in the ESPP, I acknowledge that I have received a copy of the ESPP and the Agreement, including this Appendix, which I have reviewed. I further acknowledge that I accept all the provisions of the ESPP and the Agreement, including this Appendix. I also acknowledge that I have read and specifically and expressly approves the terms and conditions set forth in Section 5 of the Global Subscription Agreement, which clearly provide as follows:</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    My participation in the ESPP does not constitute an acquired right;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(2)    The ESPP and my participation in it are offered by the Company on a wholly discretionary basis;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(3)    My participation in the ESPP is voluntary; and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(4)    The Company and any of its Parent and Subsidiaries are not responsible for any decrease in the value of any shares of Common Stock purchased under the ESPP. </w:t>
      </w:r>
    </w:p>
    <w:p>
      <w:pPr>
        <w:pStyle w:val="TextBody"/>
        <w:bidi w:val="0"/>
        <w:spacing w:lineRule="auto" w:line="288" w:before="240" w:after="283"/>
        <w:jc w:val="both"/>
        <w:rPr/>
      </w:pPr>
      <w:r>
        <w:rPr>
          <w:rFonts w:ascii="Times New Roman;serif" w:hAnsi="Times New Roman;serif"/>
          <w:b/>
          <w:color w:val="000000"/>
          <w:sz w:val="24"/>
        </w:rPr>
        <w:t>Labor Law Policy and Acknowledgment</w:t>
      </w:r>
      <w:r>
        <w:rPr>
          <w:rFonts w:ascii="Times New Roman;serif" w:hAnsi="Times New Roman;serif"/>
          <w:b w:val="false"/>
          <w:color w:val="000000"/>
          <w:sz w:val="24"/>
        </w:rPr>
        <w:t>. I expressly recognize that the Company, with registered offices at 3000 Tannery Way, Santa Clara, California 95054, USA, is solely responsible for the administration of the ESPP and that my participation in the ESPP and purchase of shares of Common Stock does not constitute an employment relationship between myself and the Company since I am participating in the ESPP on a wholly commercial basis. Based on the foregoing, I expressly recognize that the ESPP and the benefits that I may derive from participation in the ESPP do not establish any rights between myself and the Employer and do not form part of the employment conditions and/or benefits provided by the Employer and any modification of the ESPP or its termination shall not constitute a change or impairment of the terms and conditions of my employment.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further understand that my participation in the ESPP is as a result of a unilateral and discretionary decision of the Company, therefore, the Company reserves the absolute right to amend and/or discontinue my participation at any time without any liability to me.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Finally, I hereby declare that I do not reserve any action or right to bring any claim against the Company for any compensation or damages regarding any provision of the ESPP or the benefits derived under the ESPP, and I therefore grant a full and broad release to the Company, its branches, representation offices, shareholders, officers, agents or legal representatives and any Subsidiary or Affiliate with respect to any claim that may arise. </w:t>
      </w:r>
    </w:p>
    <w:p>
      <w:pPr>
        <w:pStyle w:val="TextBody"/>
        <w:bidi w:val="0"/>
        <w:spacing w:lineRule="auto" w:line="288" w:before="240" w:after="283"/>
        <w:jc w:val="both"/>
        <w:rPr/>
      </w:pPr>
      <w:r>
        <w:rPr>
          <w:rFonts w:ascii="Times New Roman;serif" w:hAnsi="Times New Roman;serif"/>
          <w:b/>
          <w:i/>
          <w:color w:val="000000"/>
          <w:sz w:val="24"/>
        </w:rPr>
        <w:t>Reconocimiento del Convenio</w:t>
      </w:r>
      <w:r>
        <w:rPr>
          <w:rFonts w:ascii="Times New Roman;serif" w:hAnsi="Times New Roman;serif"/>
          <w:b w:val="false"/>
          <w:i/>
          <w:color w:val="000000"/>
          <w:sz w:val="24"/>
        </w:rPr>
        <w:t xml:space="preserve">. Al inscribirme y participar en el ESPP, reconozco que he recibido y revisado una copia del ESPP y del Convenio, incluyendo este Apéndice. De igual forma, reconozco y acepto todas las disposiciones del ESPP y del Convenio, incluyendo el apéndice. También reconozco que he leído y que apruebo de forma expresa todos los términos y condiciones establecidos en la sección 5 del Convenio de Subscripción Global, que claramente establece lo siguiente: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(1)    Mi participación en el ESPP no constituye un derecho adquirido;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(2)    El ESPP y mi participación en el mismo se ofrecen por la Compañía de forma totalmente discrecional;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 xml:space="preserve">(3)    Mi participación en el ESPP es voluntaria; y </w:t>
      </w:r>
    </w:p>
    <w:p>
      <w:pPr>
        <w:pStyle w:val="TextBody"/>
        <w:bidi w:val="0"/>
        <w:spacing w:lineRule="auto" w:line="288" w:before="240" w:after="283"/>
        <w:ind w:left="0" w:right="0" w:hanging="720"/>
        <w:jc w:val="both"/>
        <w:rPr>
          <w:rFonts w:ascii="Times New Roman;serif" w:hAnsi="Times New Roman;serif"/>
          <w:b w:val="false"/>
          <w:i/>
          <w:color w:val="000000"/>
          <w:sz w:val="24"/>
        </w:rPr>
      </w:pPr>
      <w:r>
        <w:rPr>
          <w:rFonts w:ascii="Times New Roman;serif" w:hAnsi="Times New Roman;serif"/>
          <w:b w:val="false"/>
          <w:i/>
          <w:color w:val="000000"/>
          <w:sz w:val="24"/>
        </w:rPr>
        <w:t>(4)    La Compañía y sus Subsidiarias no son responsables por ninguna disminución en el valor de las acciones que pudiera adquirir bajo el ESPP.</w:t>
      </w:r>
    </w:p>
    <w:p>
      <w:pPr>
        <w:pStyle w:val="TextBody"/>
        <w:bidi w:val="0"/>
        <w:spacing w:lineRule="auto" w:line="288" w:before="240" w:after="283"/>
        <w:jc w:val="both"/>
        <w:rPr/>
      </w:pPr>
      <w:r>
        <w:rPr>
          <w:rFonts w:ascii="Times New Roman;serif" w:hAnsi="Times New Roman;serif"/>
          <w:b/>
          <w:i/>
          <w:color w:val="000000"/>
          <w:sz w:val="24"/>
        </w:rPr>
        <w:t>Política Laboral y Reconocimiento</w:t>
      </w:r>
      <w:r>
        <w:rPr>
          <w:rFonts w:ascii="Times New Roman;serif" w:hAnsi="Times New Roman;serif"/>
          <w:b w:val="false"/>
          <w:i/>
          <w:color w:val="000000"/>
          <w:sz w:val="24"/>
        </w:rPr>
        <w:t>.</w:t>
      </w:r>
      <w:r>
        <w:rPr>
          <w:color w:val="000000"/>
        </w:rPr>
        <w:t xml:space="preserve"> </w:t>
      </w:r>
      <w:r>
        <w:rPr>
          <w:rFonts w:ascii="Times New Roman;serif" w:hAnsi="Times New Roman;serif"/>
          <w:b w:val="false"/>
          <w:i/>
          <w:color w:val="000000"/>
          <w:sz w:val="24"/>
        </w:rPr>
        <w:t>Reconozco expresamente que la Compañía, con sus oficinas registradas en 3000 Tannery Way, Santa Clara, California 95054, Estados Unidos, es el único responsable de la administración del ESPP y que mi participación en el mismo y la compra de Acciones no constituye de ninguna manera una relación laboral entre mi persona y la Compañía, dado que mi participación en el ESPP deriva únicamente de una relación comercial. Derivado de lo anterior, expresamente reconozco que el ESPP y los beneficios que pudieran derivar del mismo no establecen ningún derecho entre mi persona y el empleador y no forman parte de las condiciones laborales y/o prestaciones otorgadas por el empleador, y cualquier modificación al ESPP o la terminación del mismo no podrá ser interpretada como una modificación o degradación de los términos y condiciones de mi trabajo.</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Asimismo, entiendo que mi participación en el ESPP es resultado de la decisión unilateral y discrecional de la Compañía, por lo tanto, la Compañía se reserva el derecho absoluto para modificar y/o terminar mi participación en cualquier momento, sin ninguna responsabilidad para mi persona.</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Finalmente, manifiesto que no me reservo ninguna acción o derecho que origine una demanda en contra de la Compañía, por cualquier compensación o daño en relación con cualquier disposición del ESPP o de los beneficios derivados del mismo, y en consecuencia otorgo un amplio y total finiquito a la Compañía, sus sucursales, oficinas de representación, sus accionistas, directores, agentes y representantes legales o de cualquier Subsidiaria o Afiliada con respecto a cualquier demanda que pudiera surgir.</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option to purchase shares of Common Stock and any shares of Common Stock acquired under the ESPP have not been registered with the National Register of Securities maintained by the Mexican National Banking and Securities Commission and cannot be offered or sold publicly in Mexico. In addition, the ESPP, the Agreement and any other document relating to the option to purchase shares of Common Stock may not be publicly distributed in Mexico. I acknowledge that these materials are addressed to me because of my existing relationship with the Company and these materials should not be reproduced or copied in any form. The offer contained in these materials does not constitute a public offering of securities, but rather constitutes a private placement of securities addressed specifically to Eligible Employees made in accordance with the provisions of the Mexican Securities Market Law, and any rights under such offering shall not be assigned or transferred.</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NETHERLANDS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the Netherlands. The Information Document is attached hereto as Exhibit C.</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NEW ZEALAND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i/>
          <w:color w:val="000000"/>
          <w:sz w:val="24"/>
        </w:rPr>
        <w:t>Warning</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I understand that I am being offered an opportunity to participate in the ESPP, which allows me to purchase shares of Common Stock under the ESPP in accordance with the terms of the ESPP and the Agreement. The shares of Common Stock, if purchased, give me a stake in the ownership of the Company. I may receive a return if dividends are paid.</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If the Company runs into financial difficulties and is wound up, I will be paid only after all creditors and holders of preference shares have been paid. I may lose some or all of my investment.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New Zealand law normally requires people who offer financial products to give information to investors before they invest.  This information is designed to help investors to make an informed decision. </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 xml:space="preserve">The usual rules do not apply to this offer because it is made under an employee share purchase scheme.  As a result, I may not be given all the information usually required.  I will also have fewer other legal protections for this investment. </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I understand that I should ask questions, read all documents carefully, and seek independent financial advice before committing myself.</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The right to purchase shares of Common Stock under the ESPP is not quoted.  The Common Stock is quoted and approved for trading on the Nasdaq Global Select Market.  This means that, if I purchase shares of Common Stock under the ESPP, I may be able to sell my investment on the Nasdaq Global Select Market if there are interested buyers.  I understand that I may get less than I invested.  The price will depend on the demand for the Common Stock.</w:t>
      </w:r>
    </w:p>
    <w:p>
      <w:pPr>
        <w:pStyle w:val="TextBody"/>
        <w:bidi w:val="0"/>
        <w:spacing w:lineRule="auto" w:line="288" w:before="240" w:after="240"/>
        <w:jc w:val="both"/>
        <w:rPr/>
      </w:pPr>
      <w:r>
        <w:rPr>
          <w:rFonts w:ascii="Times New Roman;serif" w:hAnsi="Times New Roman;serif"/>
          <w:b w:val="false"/>
          <w:i/>
          <w:color w:val="000000"/>
          <w:sz w:val="24"/>
        </w:rPr>
        <w:t xml:space="preserve">For information on risk factors impacting the Company’s business that may affect the value of the shares of Common Stock, I should refer to the risk factors discussion in the Company’s Annual Report on Form 10-K and Quarterly Reports on Form 10-Q, which are filed with the U.S. Securities and Exchange Commission and are available online at </w:t>
      </w:r>
      <w:r>
        <w:rPr>
          <w:rFonts w:ascii="Times New Roman;serif" w:hAnsi="Times New Roman;serif"/>
          <w:b w:val="false"/>
          <w:i/>
          <w:color w:val="000000"/>
          <w:sz w:val="24"/>
          <w:u w:val="single"/>
        </w:rPr>
        <w:t>www.sec.gov</w:t>
      </w:r>
      <w:r>
        <w:rPr>
          <w:rFonts w:ascii="Times New Roman;serif" w:hAnsi="Times New Roman;serif"/>
          <w:b w:val="false"/>
          <w:i/>
          <w:color w:val="000000"/>
          <w:sz w:val="24"/>
        </w:rPr>
        <w:t xml:space="preserve">, as well as on the Company’s website at </w:t>
      </w:r>
      <w:r>
        <w:rPr>
          <w:rFonts w:ascii="Times New Roman;serif" w:hAnsi="Times New Roman;serif"/>
          <w:b w:val="false"/>
          <w:color w:val="000000"/>
          <w:sz w:val="24"/>
          <w:u w:val="single"/>
        </w:rPr>
        <w:t>http://investors.paloaltonetworks.com/</w:t>
      </w:r>
      <w:r>
        <w:rPr>
          <w:rFonts w:ascii="Times New Roman;serif" w:hAnsi="Times New Roman;serif"/>
          <w:b w:val="false"/>
          <w:i/>
          <w:color w:val="000000"/>
          <w:sz w:val="24"/>
        </w:rPr>
        <w:t>.</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NORWAY</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 are no country-specific provisions.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PHILIPPINES</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left"/>
        <w:rPr/>
      </w:pPr>
      <w:r>
        <w:rPr>
          <w:rFonts w:ascii="Times New Roman;serif" w:hAnsi="Times New Roman;serif"/>
          <w:b/>
          <w:color w:val="000000"/>
          <w:sz w:val="24"/>
        </w:rPr>
        <w:t>Necessary Approvals.</w:t>
      </w:r>
      <w:r>
        <w:rPr>
          <w:color w:val="000000"/>
        </w:rPr>
        <w:t xml:space="preserve"> </w:t>
      </w:r>
      <w:r>
        <w:rPr>
          <w:rFonts w:ascii="Times New Roman;serif" w:hAnsi="Times New Roman;serif"/>
          <w:b w:val="false"/>
          <w:color w:val="000000"/>
          <w:sz w:val="24"/>
        </w:rPr>
        <w:t xml:space="preserve">The offering of the ESPP is subject to certain securities approval/confirmation requirements in the Philippines with the Philippine Securities and Exchange Commission. If the Company has not obtained, or does not maintain, the necessary securities approval/confirmation prior to any Exercise Date(s), the Company may return payroll deductions credited to my account but not used to purchase shares of Common Stock during the Purchase Period, without interest, or take such other steps as it determines in its sole discretion to be necessary for the implementation of the ESPP.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 xml:space="preserve">Securities Law Information. </w:t>
      </w:r>
      <w:r>
        <w:rPr>
          <w:rFonts w:ascii="Times New Roman;serif" w:hAnsi="Times New Roman;serif"/>
          <w:b w:val="false"/>
          <w:color w:val="000000"/>
          <w:sz w:val="24"/>
        </w:rPr>
        <w:t>I acknowledge that there are risks with participating in the ESPP, which include (without limitation) the risk of fluctuation in the price of the shares of Common Stock on the Nasdaq Global Select Market and the risk of currency fluctuations between the U.S. dollar and my local currency. In this regard, I should note that the value of any shares of Common Stock I may acquire under the ESPP may decrease after the shares of Common Stock are issued, and fluctuations in foreign exchange rates between my local currency and the U.S. dollar may affect the value of the shares of Common Stock or any amounts due to me pursuant to the exercise of the options or the subsequent sale of any shares of Common stock. The Company is not making any representations, projections or assurances about the value of the shares of Common Stock now or in the future.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For further information on risk factors impacting the Company’s business that may affect the value of the shares of Common Stock, I understand that I can refer to the risk factors discussion in the Company’s Annual Report on Form 10-K and Quarterly Reports on Form 10-Q, which are filed with the U.S. Securities and Exchange Commission and are available online at www.sec.gov, as well as on the Company’s website at https://investors.paloaltonetworks.com/. In addition, I may receive, free of charge, a copy of the Company’s Annual Report, Quarterly Reports or any other reports, proxy statements or communications distributed to the Company’s stockholders by contacting Investor Relations at Palo Alto Networks, Inc., 3000 Tannery Way, Santa Clara, California 95054 U.S.A. and at +1 (408) 753-4000.</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acknowledge that I am permitted to sell shares of Common Stock acquired under the ESPP through the designated broker appointed by the Company (or such other broker to whom I transfer shares of Common Stock), provided that such sale takes place outside of the Philippines through the facilities of the Nasdaq Global Select Market on which the shares of Common Stock are listed.</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POLAND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Payroll Deductions</w:t>
      </w:r>
      <w:r>
        <w:rPr>
          <w:rFonts w:ascii="Times New Roman;serif" w:hAnsi="Times New Roman;serif"/>
          <w:b w:val="false"/>
          <w:color w:val="000000"/>
          <w:sz w:val="24"/>
        </w:rPr>
        <w:t>. I understand that as a condition of my participation in the ESPP, I will be required to execute the attached Consent for Deduction form. I understand that, by electronically accepting this Agreement, I am executing the attached Consent for Deduction form. I understand that I will not be able to participate in the ESPP until the Company receives my executed form.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left"/>
        <w:rPr/>
      </w:pPr>
      <w:r>
        <w:rPr>
          <w:rFonts w:ascii="Times New Roman;serif" w:hAnsi="Times New Roman;serif"/>
          <w:b/>
          <w:color w:val="000000"/>
          <w:sz w:val="24"/>
        </w:rPr>
        <w:t>Securities Law Information.</w:t>
      </w:r>
      <w:r>
        <w:rPr>
          <w:color w:val="000000"/>
        </w:rPr>
        <w:t xml:space="preserve"> </w:t>
      </w:r>
      <w:r>
        <w:rPr>
          <w:rFonts w:ascii="Times New Roman;serif" w:hAnsi="Times New Roman;serif"/>
          <w:b w:val="false"/>
          <w:color w:val="000000"/>
          <w:sz w:val="24"/>
        </w:rPr>
        <w:t>The Company has prepared and made available an Information Document in reliance on an exemption from prospectus requirements that may otherwise apply to the offer of the ESPP in Poland. The Information Document is attached hereto as Exhibit D.</w:t>
      </w:r>
    </w:p>
    <w:p>
      <w:pPr>
        <w:pStyle w:val="TextBody"/>
        <w:bidi w:val="0"/>
        <w:spacing w:lineRule="auto" w:line="288" w:before="240" w:after="240"/>
        <w:jc w:val="left"/>
        <w:rPr/>
      </w:pPr>
      <w:r>
        <w:rPr>
          <w:rFonts w:ascii="Times New Roman;serif" w:hAnsi="Times New Roman;serif"/>
          <w:b/>
          <w:color w:val="000000"/>
          <w:sz w:val="24"/>
        </w:rPr>
        <w:t>Exchange Control Information.</w:t>
      </w:r>
      <w:r>
        <w:rPr>
          <w:color w:val="000000"/>
        </w:rPr>
        <w:t xml:space="preserve"> </w:t>
      </w:r>
      <w:r>
        <w:rPr>
          <w:rFonts w:ascii="Times New Roman;serif" w:hAnsi="Times New Roman;serif"/>
          <w:b w:val="false"/>
          <w:color w:val="000000"/>
          <w:sz w:val="24"/>
        </w:rPr>
        <w:t>Polish residents holding foreign securities (including shares of Common Stock) and maintaining accounts abroad must report information to the National Bank of Poland on transactions and balances of the securities and cash deposited in such accounts if the value of such transactions or balances exceeds PLN 7,000,000. If required, the reports must be filed on a quarterly basis on special forms available on the website of the National Bank of Poland. In addition, transfers of funds in excess of a certain threshold (currently €15,000, or PLN 15,000 if such transfer of funds is connected with business activity of an entrepreneur) into and out of Poland must be made via a bank account held at a bank in Poland. Polish residents are required to store all documents related to any foreign exchange transactions for a period of five years. I understand that I am responsible for complying with all applicable exchange control regulations.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for Deduction form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02920"/>
                <wp:effectExtent l="0" t="0" r="0" b="0"/>
                <wp:wrapNone/>
                <wp:docPr id="126" name="Frame125"/>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63"/>
        <w:gridCol w:w="1549"/>
        <w:gridCol w:w="1555"/>
        <w:gridCol w:w="109"/>
        <w:gridCol w:w="109"/>
        <w:gridCol w:w="109"/>
        <w:gridCol w:w="1466"/>
        <w:gridCol w:w="1466"/>
        <w:gridCol w:w="2079"/>
      </w:tblGrid>
      <w:tr>
        <w:trPr/>
        <w:tc>
          <w:tcPr>
            <w:tcW w:w="176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4"/>
                <w:u w:val="single"/>
              </w:rPr>
            </w:pPr>
            <w:r>
              <w:rPr>
                <w:rFonts w:ascii="Times New Roman;serif" w:hAnsi="Times New Roman;serif"/>
                <w:b/>
                <w:color w:val="000000"/>
                <w:sz w:val="24"/>
                <w:u w:val="single"/>
              </w:rPr>
              <w:t>CONSENT FOR DEDUCTION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4"/>
                <w:u w:val="single"/>
              </w:rPr>
            </w:pPr>
            <w:r>
              <w:rPr>
                <w:rFonts w:ascii="Times New Roman;serif" w:hAnsi="Times New Roman;serif"/>
                <w:b/>
                <w:color w:val="000000"/>
                <w:sz w:val="24"/>
                <w:u w:val="single"/>
              </w:rPr>
              <w:t>ZGODA NA POTRĄCENIE</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 xml:space="preserve">I, in order to participate in the Palo Alto Networks, Inc. Employee Stock Purchase Plan (“Plan”), authorize my employer Palo Alto Networks (Poland) sp. z o.o. to withhold payroll deductions at the percentage of my Compensation I indicated on the online enrollment page, which I may subsequently change to the extent allowed under the Plan and by the Administrator. I understand that this amount must not be less than 1% and not more than 15% of my Compensation for any Offering Period with the reservation that the deductions are made in accordance with the applicable provisions of the Polish labor law.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Ja, w celu uczestnictwa w Palo Alto Networks, Inc. Employee Stock Purchase Plan (“Plan”), upoważniam mojego pracodawcę Palo Alto Networks (Poland) sp. z o.o. do potrącenia procentu mojego Wynagrodzenia wskazanego przeze mnie na stronie rejestracji on-line, którą mogę następnie zmienić w zakresie dozwolonym przez Plan oraz Administratora. Przyjmuję do wiadomości, iż ta kwota nie może być mniejsza niż 1% i większa niż 15% mojego Wynagrodzenia w każdym Okresie Oferty z zastrzeżeniem, że potrącenia będą dokonywane zgodnie z obowiązującymi przepisami polskiego prawa pracy.</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I acknowledge and agree that any past payroll deductions from my Compensation with respect to my participation in the Plan complied with Polish law and that I authorized all such 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Niniejszym potwierdzam i zgadzam się z tym, że jakiekolwiek przeszłe potrącenia z mojego wynagrodzenia dokonane w związku z moim uczestnictwem w Planie były zgodne z polskim prawem i że wyraziłem/am na nie zgodę.</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 xml:space="preserve">All the terms written in capital letters shall have the meanings given to them in the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Wszystkie terminy pisane wielkimi literami mają znaczenie przypisane im w ramach Planu.</w:t>
            </w:r>
          </w:p>
        </w:tc>
      </w:tr>
      <w:tr>
        <w:trPr/>
        <w:tc>
          <w:tcPr>
            <w:tcW w:w="4867"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In case of any discrepancies between the Polish language version of this document and its English language version, the Polish language version shall prevail.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3"/>
            <w:tcBorders/>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24"/>
              </w:rPr>
            </w:pPr>
            <w:r>
              <w:rPr>
                <w:rFonts w:ascii="Times New Roman;serif" w:hAnsi="Times New Roman;serif"/>
                <w:b w:val="false"/>
                <w:color w:val="000000"/>
                <w:sz w:val="24"/>
              </w:rPr>
              <w:t>W przypadku jakichkolwiek rozbieżności pomiędzy polską a angielską wersją językową niniejszego dokumentu, wersja polska ma charakter wiążący.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02920"/>
                <wp:effectExtent l="0" t="0" r="0" b="0"/>
                <wp:wrapNone/>
                <wp:docPr id="127" name="Frame126"/>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PORTUGAL</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I hereby agree to receive information related to the ESPP in English through my participation in the ESPP. Specifically, I acknowledge as follows: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hereby expressly declare that I have full knowledge of the English language and have read, understood and fully accepted and agreed with the terms and conditions established in the ESPP and the Agreement.</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Por meio do presente, eu declaro expressamente que tem pleno conhecimento da língua inglesa e que li, compreendi e livremente aceitei e concordei com os termos e condições estabelecidas no Plano e no Acordo.</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If I hold shares of Common Stock acquired under the ESPP, the acquisition of shares should be reported to the Banco de Portugal for statistical purposes. If the shares are deposited with a commercial bank or financial intermediary in Portugal, such bank or financial intermediary will submit the report on my behalf. If the shares are not deposited with a commercial bank or financial intermediary in Portugal, I am responsible for submitting the report to the Banco de Portugal.</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QATAR</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options granted under the ESPP and any shares of Common Stock issued under the ESPP have not been offered, sold or delivered and will not be offered, sold or delivered, at any time, directly or indirectly in the State of Qatar in a manner that would constitute a public offering.</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The Agreement, the ESPP and any other incidental communication materials distributed in connection with the ESPP have not been, and will not be, registered with or approved by the Qatar Financial Markets Authority or Qatar Central Bank and may not be publicly distributed. The Agreement, the ESPP and any other incidental communication materials distributed in connection with the ESPP are intended only for Eligible Employees and must not be provided to any other person. These materials are not for general circulation in the State of Qatar and may not be reproduced or used for any other purpose.</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ROMANIA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participating in the ESPP, I acknowledge that I am proficient in reading and understanding English and fully understand the terms of the documents related to my participation (the ESPP and the Agreement), which were provided in the English language. I accept the terms of those documents accordingly.</w:t>
      </w:r>
    </w:p>
    <w:p>
      <w:pPr>
        <w:pStyle w:val="TextBody"/>
        <w:bidi w:val="0"/>
        <w:spacing w:lineRule="auto" w:line="288" w:before="240" w:after="283"/>
        <w:jc w:val="both"/>
        <w:rPr>
          <w:rFonts w:ascii="Times New Roman;serif" w:hAnsi="Times New Roman;serif"/>
          <w:b w:val="false"/>
          <w:i/>
          <w:color w:val="000000"/>
          <w:sz w:val="24"/>
        </w:rPr>
      </w:pPr>
      <w:r>
        <w:rPr>
          <w:rFonts w:ascii="Times New Roman;serif" w:hAnsi="Times New Roman;serif"/>
          <w:b w:val="false"/>
          <w:i/>
          <w:color w:val="000000"/>
          <w:sz w:val="24"/>
        </w:rPr>
        <w:t>Consimtamant cu privire la limba. Prin participarea la planul ESPP, confirm ca am un nivel adecvat de cunoastere in ce priveste citirea si intelegerea limbii engleze, am inteles pe deplin termenii documentelor referitoare la participarea mea (planul ESPP si Formularul de aderare/schimbare, inclusiv aceasta Anexa), care au fost furnizate in limba engleza. Accept termenii acestor documente in mod corespunzator.</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If I deposit the proceeds from the sale of shares of Common Stock acquired under the ESPP into a bank account in Romania, I may be required to provide the Romanian bank with appropriate documentation explaining the source of the funds. I understand that I should consult with my personal legal advisor to determine whether I will be required to submit such documentation to the Romanian bank.</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SAUDI ARABIA</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Purchase of Shares</w:t>
      </w:r>
      <w:r>
        <w:rPr>
          <w:rFonts w:ascii="Times New Roman;serif" w:hAnsi="Times New Roman;serif"/>
          <w:b w:val="false"/>
          <w:color w:val="000000"/>
          <w:sz w:val="24"/>
        </w:rPr>
        <w:t>. I understand that no shares of Common Stock will be purchased on my behalf under the ESPP, provided the Company, in its sole discretion, determines that such purchase does not comply with securities law requirements in Saudi Arabia.</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Agreement and related ESPP plan document may not be distributed in Saudi Arabia except to such persons as are permitted under the Offers of Securities and Continuous Obligations issued by the Capital Market Authority.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Capital Market Authority does not make any representation as to the accuracy or completeness of the Agreement and expressly disclaims any liability whatsoever for any loss arising from, or incurred in reliance upon, any part of the Agreement. I should conduct my own due diligence on the accuracy of the information relating to the shares of Common Stock. If I do not understand the contents of the Agreement, I should consult an authorized financial advisor.</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SINGAPORE</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Restriction on Sale and Transferability of Shares</w:t>
      </w:r>
      <w:r>
        <w:rPr>
          <w:rFonts w:ascii="Times New Roman;serif" w:hAnsi="Times New Roman;serif"/>
          <w:b w:val="false"/>
          <w:color w:val="000000"/>
          <w:sz w:val="24"/>
        </w:rPr>
        <w:t>. I understand and acknowledge that my option to purchase shares of Common Stock is subject to section 257 of the Singapore Securities and Futures Act (Chapter 289, 2006 Ed.) (“SFA”) and I will not be able to make any subsequent sale of shares of Common Stock in Singapore, or any offer of the shares of Common Stock acquired under the ESPP unless such sale or offer in Singapore is made (i) more than six months from the date of offer, (ii) pursuant to the exemptions under Part XIII Division (1) Subdivision (4) (other than section 280) of the SFA, or (iii) pursuant to, and in accordance with the condition of, any other applicable provisions of the SFA.</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 understand that the option to purchase shares of Common Stock under the ESPP is being granted to me pursuant to the “Qualifying Person” exemption under section 273(1)(f) of the SFA. I further understand that the ESPP has not been lodged or registered as a prospectus with the Monetary Authority of Singapore. </w:t>
      </w:r>
    </w:p>
    <w:p>
      <w:pPr>
        <w:pStyle w:val="TextBody"/>
        <w:bidi w:val="0"/>
        <w:spacing w:lineRule="auto" w:line="288" w:before="240" w:after="283"/>
        <w:jc w:val="both"/>
        <w:rPr/>
      </w:pPr>
      <w:r>
        <w:rPr>
          <w:rFonts w:ascii="Times New Roman;serif" w:hAnsi="Times New Roman;serif"/>
          <w:b/>
          <w:color w:val="000000"/>
          <w:sz w:val="24"/>
        </w:rPr>
        <w:t>Director Reporting Notice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I am a director, associate director or shadow director of a Singapore Subsidiary or Affiliate, as such terms are used in the Singapore Companies Act (the “SCA”), I agree to comply with notification requirements under the SCA. Among these requirements is an obligation to notify the Singapore Subsidiary or Affiliate in writing when I receive an interest (</w:t>
      </w:r>
      <w:r>
        <w:rPr>
          <w:rFonts w:ascii="Times New Roman;serif" w:hAnsi="Times New Roman;serif"/>
          <w:b w:val="false"/>
          <w:i/>
          <w:color w:val="000000"/>
          <w:sz w:val="24"/>
        </w:rPr>
        <w:t>e.g</w:t>
      </w:r>
      <w:r>
        <w:rPr>
          <w:rFonts w:ascii="Times New Roman;serif" w:hAnsi="Times New Roman;serif"/>
          <w:b w:val="false"/>
          <w:color w:val="000000"/>
          <w:sz w:val="24"/>
        </w:rPr>
        <w:t>., shares of Common Stock) in the Company or any related companies (including when I sell shares acquired under the ESPP). In addition, I must notify the Singapore Subsidiary or Affiliate when I sell or receive shares of the Company or any related company (including when I sell or receive shares under the ESPP). These notifications must be made within two business days of acquiring or disposing of any interest in the Company or any related company. In addition, I acknowledge that a notification must be made of my interests in the Company or any related company within two business days of becoming a director.</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SLOVENIA</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Language Consent</w:t>
      </w:r>
      <w:r>
        <w:rPr>
          <w:rFonts w:ascii="Times New Roman;serif" w:hAnsi="Times New Roman;serif"/>
          <w:b w:val="false"/>
          <w:color w:val="000000"/>
          <w:sz w:val="24"/>
        </w:rPr>
        <w:t>. By enrolling in the ESPP, I acknowledge that I am proficient in reading and understanding English and fully understand the terms of the documents related to the grant (the Agreement and the ESPP), which were provided in the English language. I accept the terms of those documents accordingly.</w:t>
      </w:r>
    </w:p>
    <w:p>
      <w:pPr>
        <w:pStyle w:val="TextBody"/>
        <w:bidi w:val="0"/>
        <w:spacing w:lineRule="auto" w:line="288" w:before="240" w:after="240"/>
        <w:jc w:val="both"/>
        <w:rPr>
          <w:rFonts w:ascii="Times New Roman;serif" w:hAnsi="Times New Roman;serif"/>
          <w:b w:val="false"/>
          <w:i/>
          <w:color w:val="000000"/>
          <w:sz w:val="24"/>
        </w:rPr>
      </w:pPr>
      <w:r>
        <w:rPr>
          <w:rFonts w:ascii="Times New Roman;serif" w:hAnsi="Times New Roman;serif"/>
          <w:b w:val="false"/>
          <w:i/>
          <w:color w:val="000000"/>
          <w:sz w:val="24"/>
        </w:rPr>
        <w:t>Soglasje za uporabo angleškega jezika. Z vpisom v ESPP (plan) priznavam in potrjujem, da sem sposoben brati in razumeti angleški jezik ter v celoti razumem pogoje dokumentov, povezanih z dodelitvijo (pogodba (Agreement) in ESPP (plan)), ki so bili posredovani v angleškem jeziku. Skladno s tem sprejemam pogoje teh dokumentov.</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SOUTH AFRICA</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Tax Clearance Certificate for ESPP Participation</w:t>
      </w:r>
      <w:r>
        <w:rPr>
          <w:rFonts w:ascii="Times New Roman;serif" w:hAnsi="Times New Roman;serif"/>
          <w:b w:val="false"/>
          <w:color w:val="000000"/>
          <w:sz w:val="24"/>
        </w:rPr>
        <w:t>. I understand that in order to participate in the ESPP, I may be required to obtain and provide to the Employer, or any third party designated by the Employer or the Company, a Tax Clearance Certificate (with respect to foreign investments – see Exchange Control Information below) bearing the official stamp and signature of the Exchange Control Department of the South African Revenue Service (“SARS”) and I must renew this Tax Clearance Certificate each year or such other period as may be required by the SARS. I acknowledge that my failure to provide a valid Tax Clearance Certificate by the deadline provided by the Employer or the Company may result in my withdrawal from participation in the ESPP.</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xml:space="preserve">. The documents listed below are available for my review on the Company’s website at </w:t>
      </w:r>
      <w:r>
        <w:rPr>
          <w:rFonts w:ascii="Times New Roman;serif" w:hAnsi="Times New Roman;serif"/>
          <w:b w:val="false"/>
          <w:color w:val="000000"/>
          <w:sz w:val="24"/>
          <w:u w:val="single"/>
        </w:rPr>
        <w:t>https://investors.paloaltonetworks.com</w:t>
      </w:r>
      <w:r>
        <w:rPr>
          <w:color w:val="000000"/>
        </w:rPr>
        <w:t xml:space="preserve"> </w:t>
      </w:r>
      <w:r>
        <w:rPr>
          <w:rFonts w:ascii="Times New Roman;serif" w:hAnsi="Times New Roman;serif"/>
          <w:b w:val="false"/>
          <w:color w:val="000000"/>
          <w:sz w:val="24"/>
        </w:rPr>
        <w:t>and the Company’s intranet:</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1.The Company’s most recent annual financial statements; and</w:t>
      </w:r>
    </w:p>
    <w:p>
      <w:pPr>
        <w:pStyle w:val="TextBody"/>
        <w:bidi w:val="0"/>
        <w:spacing w:lineRule="auto" w:line="288" w:before="24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2.The Company’s most recent ESPP prospectus. </w:t>
      </w:r>
    </w:p>
    <w:p>
      <w:pPr>
        <w:pStyle w:val="TextBody"/>
        <w:bidi w:val="0"/>
        <w:spacing w:lineRule="auto" w:line="288" w:before="240" w:after="240"/>
        <w:jc w:val="both"/>
        <w:rPr/>
      </w:pPr>
      <w:r>
        <w:rPr>
          <w:rFonts w:ascii="Times New Roman;serif" w:hAnsi="Times New Roman;serif"/>
          <w:b w:val="false"/>
          <w:color w:val="000000"/>
          <w:sz w:val="24"/>
        </w:rPr>
        <w:t xml:space="preserve">A copy of the above documents will be sent to me free of charge on written request to </w:t>
      </w:r>
      <w:r>
        <w:rPr>
          <w:rFonts w:ascii="Times New Roman;serif" w:hAnsi="Times New Roman;serif"/>
          <w:b w:val="false"/>
          <w:color w:val="000000"/>
          <w:sz w:val="24"/>
          <w:u w:val="single"/>
        </w:rPr>
        <w:t>equity@paloaltonetworks.com</w:t>
      </w:r>
      <w:r>
        <w:rPr>
          <w:rFonts w:ascii="Times New Roman;serif" w:hAnsi="Times New Roman;serif"/>
          <w:b w:val="false"/>
          <w:color w:val="000000"/>
          <w:sz w:val="24"/>
        </w:rPr>
        <w: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should carefully read the materials provided before making a decision whether to participate in the ESPP. In addition, I should contact my tax advisor for specific information concerning my personal tax situation with regard to ESPP participation.</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Under current South African exchange control policy, South African residents may invest a maximum of a certain threshold (currently ZAR 11 million) per annum in offshore investments, including in shares of Common Stock. The ZAR 11 million allowance consists of a ZAR 1 million annual discretionary allowance which may be utilized for investment and non-investment purposes and without prior authorization, and a ZAR 10 million annual allowance which may be utilized solely for investment purposes and requires a tax clearance certificate. These limits do not apply to non-resident Participants.</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 is my responsibility to ensure that I do not exceed the combined limit. This limit is a cumulative allowance; therefore, my ability to remit funds for the purchase of Common Stock will be reduced if my foreign investment limit is utilized to make a transfer of funds offshore that is unrelated to the ESPP. If the ZAR 11 million limit will be exceeded as a result of a purchase under the ESPP, I may still participate in the ESPP; however, I will need to immediately sell the shares of Common Stock purchased on my behalf under the ESPP and repatriate the proceeds to South Africa in order to ensure that I do not hold assets outside South Africa with a value in excess of the permitted offshore investment allowance amount.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the investment limit and other exchange control requirements are subject to change without notice, I should consult my personal legal advisor prior to the purchase or sale of shares of Common Stock under the ESPP to ensure compliance with current regulations. I am solely responsible for complying with exchange control requirements in South Africa and neither the Company nor any Subsidiary or Affiliate will be liable for any fines or penalties resulting from my failure to do so.</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SPAIN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Nature of Grant</w:t>
      </w:r>
      <w:r>
        <w:rPr>
          <w:rFonts w:ascii="Times New Roman;serif" w:hAnsi="Times New Roman;serif"/>
          <w:b w:val="false"/>
          <w:color w:val="000000"/>
          <w:sz w:val="24"/>
        </w:rPr>
        <w:t>. This provision supplements Section 5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By enrolling in the ESPP, I consent to participation in the ESPP and acknowledge that I have received a copy of the ESPP.</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understand and agree that I will cease to be a Participant in the ESPP upon the termination of my status as an Eligible Employee for any reason (including for the reasons listed below) and my payroll deductions shall cease and be returned to me, without interest, as soon as administratively possible.</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particular, I understand and agree that I will no longer be able to participate in the ESPP and any right to the shares of Common Stock will be forfeited upon the termination of my status as an Eligible Employee due to, but not limited to: resignation, retirement, disciplinary dismissal adjudged to be with cause, disciplinary dismissal adjudged or recognized to be without cause,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 </w:t>
      </w:r>
    </w:p>
    <w:p>
      <w:pPr>
        <w:pStyle w:val="TextBody"/>
        <w:bidi w:val="0"/>
        <w:spacing w:lineRule="auto" w:line="288" w:before="240" w:after="240"/>
        <w:jc w:val="both"/>
        <w:rPr/>
      </w:pPr>
      <w:r>
        <w:rPr>
          <w:rFonts w:ascii="Times New Roman;serif" w:hAnsi="Times New Roman;serif"/>
          <w:b w:val="false"/>
          <w:color w:val="000000"/>
          <w:sz w:val="24"/>
        </w:rPr>
        <w:t>Furthermore, I understand that the Company has unilaterally, gratuitously and discretionally decided to grant options to purchase shares of Common Stock under the ESPP to individuals who may be Eligible Employees. The decision is a limited decision that is entered into upon the express assumption and condition that (i) any grant will not economically or otherwise bind the Company or any Subsidiary or Affiliate on an ongoing basis; (ii) the option and any shares of Common Stock purchased under the ESPP are not part of any employment contract either with the Company or any Subsidiary or Affiliate and shall not be considered a mandatory benefit, salary for any purposes (including severance compensation) or any other right whatsoever; and (iii) my participation in the ESPP will cease upon the termination of my status as an Eligible Employee, as detailed above. In addition, I understand that the option to purchase shares of Common Stock would not be granted to me but for the assumptions and conditions referred to herein; thus, I acknowledge and freely accept that should any or all of the assumptions be mistaken or should any of the conditions not be met for any reason, then the grant of the option to purchase shares of Common Stock shall be null and void.</w:t>
      </w:r>
      <w:r>
        <w:rPr>
          <w:color w:val="000000"/>
        </w:rPr>
        <w:t xml:space="preserve"> </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FF"/>
        </w:rPr>
        <w:t xml:space="preserve"> </w:t>
      </w:r>
      <w:r>
        <w:rPr>
          <w:rFonts w:ascii="Times New Roman;serif" w:hAnsi="Times New Roman;serif"/>
          <w:b w:val="false"/>
          <w:color w:val="000000"/>
          <w:sz w:val="24"/>
        </w:rPr>
        <w:t xml:space="preserve">No “offer of securities to the public,” as defined under Spanish law, has taken place or will take place in the Spanish territory in connection with the ESPP or the shares of Common Stock acquired pursuant thereto. The Agreement (including this Appendix) has not been nor will it be registered with the </w:t>
      </w:r>
      <w:r>
        <w:rPr>
          <w:rFonts w:ascii="Times New Roman;serif" w:hAnsi="Times New Roman;serif"/>
          <w:b w:val="false"/>
          <w:i/>
          <w:color w:val="000000"/>
          <w:sz w:val="24"/>
        </w:rPr>
        <w:t>Comisión Nacional del Mercado de Valores</w:t>
      </w:r>
      <w:r>
        <w:rPr>
          <w:rFonts w:ascii="Times New Roman;serif" w:hAnsi="Times New Roman;serif"/>
          <w:b w:val="false"/>
          <w:color w:val="000000"/>
          <w:sz w:val="24"/>
        </w:rPr>
        <w:t>, and does not constitute a public offering prospectus.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When receiving foreign currency payments exceeding a certain threshold (currently €50,000, per type of asset or right) derived from the ownership of any shares of Common Stock (</w:t>
      </w:r>
      <w:r>
        <w:rPr>
          <w:rFonts w:ascii="Times New Roman;serif" w:hAnsi="Times New Roman;serif"/>
          <w:b w:val="false"/>
          <w:i/>
          <w:color w:val="000000"/>
          <w:sz w:val="24"/>
        </w:rPr>
        <w:t>i.e</w:t>
      </w:r>
      <w:r>
        <w:rPr>
          <w:rFonts w:ascii="Times New Roman;serif" w:hAnsi="Times New Roman;serif"/>
          <w:b w:val="false"/>
          <w:color w:val="000000"/>
          <w:sz w:val="24"/>
        </w:rPr>
        <w:t>., dividends or sale proceeds), I acknowledge that I must inform the financial institution receiving the payment of the basis upon which such payment is made. I will need to provide the institution with the following information: (i) my name, address, and tax identification number; (ii) the name and corporate domicile of the Company; (iii) the amount of the payment and the currency used; (iv) the country of origin; (v) the reasons for the payment; and (vi) further information that may be required.</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 am required to declare electronically to the Bank of Spain any securities accounts (including brokerage accounts held abroad), as well as the shares held in such accounts if the value of the transactions for all such accounts during the prior tax year or the balances in such accounts as of December 31 of the prior tax year exceed a certain threshold (currently €1,000,000). Different thresholds and deadlines to file this declaration apply. However, if neither such transactions during the immediately preceding year nor the balances / positions as of December 31 exceed a certain threshold (currently €1,000,000), no such declaration must be filed unless expressly required by the Bank of Spain. If any of such thresholds were exceeded during the current year, I may be required to file the relevant declaration corresponding to the prior year, however, a summarized form of declaration may be available. I should consult my personal tax or legal advisor for further information regarding these exchange control reporting obligations.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SWEDEN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Responsibility for Taxes</w:t>
      </w:r>
      <w:r>
        <w:rPr>
          <w:rFonts w:ascii="Times New Roman;serif" w:hAnsi="Times New Roman;serif"/>
          <w:b w:val="false"/>
          <w:color w:val="000000"/>
          <w:sz w:val="24"/>
        </w:rPr>
        <w:t>. The following provision supplements Section 4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Without limiting the Company and the Employer’s authority to satisfy their withholding obligations for Tax-Related Items as set forth in Section 4 of the Global Subscription Agreement, by participating in the ESPP, I authorize the Company and/or the Employer to withhold or to sell shares of Common Stock otherwise deliverable to me upon purchase in order to satisfy Tax-Related Items, regardless of whether the Company and/or the Employer has an obligation to withhold such Tax-Related Items.</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SWITZERLAND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Neither this document nor any other materials relating to participation in the ESPP (i) constitutes a prospectus according to articles 35 et seq. of the Swiss Federal Act on Financial Services (“FinSA”), (ii) may be publicly distributed or otherwise made publicly available in Switzerland to any person other than an Eligible Employee,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TAIWAN</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Data Privacy</w:t>
      </w:r>
      <w:r>
        <w:rPr>
          <w:rFonts w:ascii="Times New Roman;serif" w:hAnsi="Times New Roman;serif"/>
          <w:b w:val="false"/>
          <w:color w:val="000000"/>
          <w:sz w:val="24"/>
        </w:rPr>
        <w:t>. I hereby acknowledge that I have read and understand the terms regarding the collection, processing and transfer of Data contained in the Data Privacy Provisions above in this Appendix and, by enrolling and participating in the ESPP, I agree to such terms. In this regard, upon request of the Company or the Employer, I agree to provide any executed data privacy consent form (or any other agreements or consents that may be required by the Employer or the Company) should the Company and/or the Employer deem such agreement or consent necessary under applicable data privacy laws, either now or in the future. I understand I will not be able to participate in the ESPP if I fail to execute any such consent or agreement.</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offer to participate in the ESPP and the shares of Common Stock to be purchased under the ESPP are available only for Eligible Employees. It is not a public offer of securities by a Taiwanese company. Therefore, it is exempt from registration in Taiwan.</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may acquire and remit foreign currency (including proceeds from the sale of shares of Common Stock and the receipt of any dividends paid on such shares) into and out of Taiwan up to a certain threshold (currently US$10,000,000) per year. If the transaction amount equals or exceeds a certain threshold (currently TWD500,000) in a single transaction, I must submit a Foreign Exchange Transaction Form and also provide supporting documentation to the satisfaction of the remitting bank.</w:t>
      </w:r>
    </w:p>
    <w:p>
      <w:pPr>
        <w:pStyle w:val="TextBody"/>
        <w:bidi w:val="0"/>
        <w:spacing w:lineRule="auto" w:line="288" w:before="240" w:after="240"/>
        <w:jc w:val="left"/>
        <w:rPr>
          <w:rFonts w:ascii="Times New Roman;serif" w:hAnsi="Times New Roman;serif"/>
          <w:b/>
          <w:color w:val="000000"/>
          <w:sz w:val="24"/>
        </w:rPr>
      </w:pPr>
      <w:r>
        <w:rPr>
          <w:rFonts w:ascii="Times New Roman;serif" w:hAnsi="Times New Roman;serif"/>
          <w:b/>
          <w:color w:val="000000"/>
          <w:sz w:val="24"/>
        </w:rPr>
        <w:t>THAILAND</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Authorization for Participation in the ESPP</w:t>
      </w:r>
      <w:r>
        <w:rPr>
          <w:rFonts w:ascii="Times New Roman;serif" w:hAnsi="Times New Roman;serif"/>
          <w:b w:val="false"/>
          <w:color w:val="000000"/>
          <w:sz w:val="24"/>
        </w:rPr>
        <w:t>. I hereby authorize the Employer, the Company and any Subsidiary or Affiliate to remit my accumulated payroll deductions under the ESPP, on my behalf, to the United States of America, to purchase shares of Common Stock under the ESPP.</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Upon request of the Company or the Employer, I agree to execute a power of attorney and any other agreements or consents that may be required to enable the Employer, the Company or any Subsidiary or Affiliate or any third party designated by the Employer or the Company to remit my accumulated payroll deductions from Thailand for the purchase of shares of Common Stock. I understand that if I fail to execute a power of attorney or any other form of agreement or consent that is required for the remittance of my payroll deductions, I will not be able to participate in the ESPP.</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Exchange Control Information</w:t>
      </w:r>
      <w:r>
        <w:rPr>
          <w:rFonts w:ascii="Times New Roman;serif" w:hAnsi="Times New Roman;serif"/>
          <w:b w:val="false"/>
          <w:color w:val="000000"/>
          <w:sz w:val="24"/>
        </w:rPr>
        <w:t>. I acknowledge that I am required to immediately repatriate the proceeds from the sale of shares of Common Stock to Thailand if the funds received in a single transaction equal or exceed a certain threshold (currently US$1,000,000), unless I can rely on an applicable exemption (</w:t>
      </w:r>
      <w:r>
        <w:rPr>
          <w:rFonts w:ascii="Times New Roman;serif" w:hAnsi="Times New Roman;serif"/>
          <w:b w:val="false"/>
          <w:i/>
          <w:color w:val="000000"/>
          <w:sz w:val="24"/>
        </w:rPr>
        <w:t>e.g.</w:t>
      </w:r>
      <w:r>
        <w:rPr>
          <w:rFonts w:ascii="Times New Roman;serif" w:hAnsi="Times New Roman;serif"/>
          <w:b w:val="false"/>
          <w:color w:val="000000"/>
          <w:sz w:val="24"/>
        </w:rPr>
        <w:t>, where the funds will be used offshore for any permissible purposes under exchange control regulations and the relevant form and supporting documents have been submitted to a commercial bank in Thailand). Any foreign currency repatriated to Thailand must either be converted to Thai Baht or deposited into a foreign currency deposit account within 360 days of repatriation. I must specifically report the inward remittance to the Bank of Thailand on a foreign exchange transaction form. If I fail to comply with these obligations, I may be subject to penalties assessed by the Bank of Thailand. I acknowledge that I should consult my personal legal advisor prior to taking any action with respect to remittance of proceeds from the sale of shares of Common Stock into Thailand. I am responsible for ensuring compliance with all exchange control laws in Thailand.</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TÜRKIYE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By electing to participate in the ESPP, I understand and agree that I am not permitted to sell any shares of Common Stock acquired under the ESPP in Türkiye. The shares of Common Stock are currently traded on the Nasdaq Global Select Market, which is located outside of Türkiye, under the ticker symbol “PANW” and the shares may be sold through this exchange.</w:t>
      </w:r>
    </w:p>
    <w:p>
      <w:pPr>
        <w:pStyle w:val="TextBody"/>
        <w:bidi w:val="0"/>
        <w:spacing w:lineRule="auto" w:line="288" w:before="240" w:after="283"/>
        <w:jc w:val="both"/>
        <w:rPr/>
      </w:pPr>
      <w:r>
        <w:rPr>
          <w:rFonts w:ascii="Times New Roman;serif" w:hAnsi="Times New Roman;serif"/>
          <w:b/>
          <w:color w:val="000000"/>
          <w:sz w:val="24"/>
        </w:rPr>
        <w:t>Financial Intermediary Information</w:t>
      </w:r>
      <w:r>
        <w:rPr>
          <w:rFonts w:ascii="Times New Roman;serif" w:hAnsi="Times New Roman;serif"/>
          <w:b w:val="false"/>
          <w:color w:val="000000"/>
          <w:sz w:val="24"/>
        </w:rPr>
        <w:t>. Activity by Turkish residents related to investments in foreign securities (</w:t>
      </w:r>
      <w:r>
        <w:rPr>
          <w:rFonts w:ascii="Times New Roman;serif" w:hAnsi="Times New Roman;serif"/>
          <w:b w:val="false"/>
          <w:i/>
          <w:color w:val="000000"/>
          <w:sz w:val="24"/>
        </w:rPr>
        <w:t>e.g.</w:t>
      </w:r>
      <w:r>
        <w:rPr>
          <w:rFonts w:ascii="Times New Roman;serif" w:hAnsi="Times New Roman;serif"/>
          <w:b w:val="false"/>
          <w:color w:val="000000"/>
          <w:sz w:val="24"/>
        </w:rPr>
        <w:t>, the sale of shares of Common Stock under the ESPP) must be conducted through a bank or financial intermediary institution licensed by the Turkish Capital Markets Board and should be reported to the Turkish Capital Markets Board. I understand that I am solely responsible for complying with this requirement and I should contact my personal legal advisor for further information regarding my obligations in this respect.</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UNITED ARAB EMIRATES</w:t>
      </w:r>
    </w:p>
    <w:p>
      <w:pPr>
        <w:pStyle w:val="TextBody"/>
        <w:bidi w:val="0"/>
        <w:spacing w:lineRule="auto" w:line="288" w:before="240" w:after="283"/>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83"/>
        <w:jc w:val="both"/>
        <w:rPr/>
      </w:pPr>
      <w:r>
        <w:rPr>
          <w:rFonts w:ascii="Times New Roman;serif" w:hAnsi="Times New Roman;serif"/>
          <w:b/>
          <w:color w:val="000000"/>
          <w:sz w:val="24"/>
        </w:rPr>
        <w:t>Nature of Grant</w:t>
      </w:r>
      <w:r>
        <w:rPr>
          <w:rFonts w:ascii="Times New Roman;serif" w:hAnsi="Times New Roman;serif"/>
          <w:b w:val="false"/>
          <w:color w:val="000000"/>
          <w:sz w:val="24"/>
        </w:rPr>
        <w:t>. The following provision supplements Section 5 of the Global Subscription Agreement:</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 acknowledge that the ESPP and related benefits do not constitute a component of my “wages” for any legal purpose. Therefore, the ESPP and related benefits will not be included and/or considered for purposes of calculating any and all labor benefits, such as social insurance contributions and/or any other labor-related amounts which will be payable.</w:t>
      </w:r>
    </w:p>
    <w:p>
      <w:pPr>
        <w:pStyle w:val="TextBody"/>
        <w:bidi w:val="0"/>
        <w:spacing w:lineRule="auto" w:line="288" w:before="240" w:after="283"/>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83"/>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Participation in the ESPP is being offered only to selected employees and is in the nature of providing equity incentives to Eligible Employees in the United Arab Emirates (“UAE”). The ESPP and the Agreement are intended for distribution only to such employees and must not be delivered to, or relied on by, any other person. Prospective purchasers of the securities offered should conduct their own due diligence on the securities. If I do not understand the contents of the ESPP or the Agreement, I understand that I should consult an authorized financial adviser. The Emirates Securities and Commodities Authority has no responsibility for reviewing or verifying any documents in connection with the ESPP. No other UAE authority or governmental agency has approved the ESPP or the Agreement nor taken any steps to verify the information set out therein and have no responsibility for such documents.</w:t>
      </w:r>
    </w:p>
    <w:p>
      <w:pPr>
        <w:pStyle w:val="TextBody"/>
        <w:bidi w:val="0"/>
        <w:spacing w:lineRule="auto" w:line="288" w:before="240" w:after="240"/>
        <w:jc w:val="both"/>
        <w:rPr>
          <w:rFonts w:ascii="Times New Roman;serif" w:hAnsi="Times New Roman;serif"/>
          <w:b/>
          <w:color w:val="000000"/>
          <w:sz w:val="24"/>
        </w:rPr>
      </w:pPr>
      <w:r>
        <w:rPr>
          <w:rFonts w:ascii="Times New Roman;serif" w:hAnsi="Times New Roman;serif"/>
          <w:b/>
          <w:color w:val="000000"/>
          <w:sz w:val="24"/>
        </w:rPr>
        <w:t>UNITED KINGDOM</w:t>
      </w:r>
    </w:p>
    <w:p>
      <w:pPr>
        <w:pStyle w:val="TextBody"/>
        <w:bidi w:val="0"/>
        <w:spacing w:lineRule="auto" w:line="288" w:before="240" w:after="240"/>
        <w:jc w:val="left"/>
        <w:rPr>
          <w:rFonts w:ascii="Times New Roman;serif" w:hAnsi="Times New Roman;serif"/>
          <w:b/>
          <w:i/>
          <w:color w:val="000000"/>
          <w:sz w:val="24"/>
        </w:rPr>
      </w:pPr>
      <w:r>
        <w:rPr>
          <w:rFonts w:ascii="Times New Roman;serif" w:hAnsi="Times New Roman;serif"/>
          <w:b/>
          <w:i/>
          <w:color w:val="000000"/>
          <w:sz w:val="24"/>
        </w:rPr>
        <w:t>Terms and Conditions</w:t>
      </w:r>
    </w:p>
    <w:p>
      <w:pPr>
        <w:pStyle w:val="TextBody"/>
        <w:bidi w:val="0"/>
        <w:spacing w:lineRule="auto" w:line="288" w:before="240" w:after="240"/>
        <w:jc w:val="both"/>
        <w:rPr/>
      </w:pPr>
      <w:r>
        <w:rPr>
          <w:rFonts w:ascii="Times New Roman;serif" w:hAnsi="Times New Roman;serif"/>
          <w:b/>
          <w:color w:val="000000"/>
          <w:sz w:val="24"/>
        </w:rPr>
        <w:t>Joint Election</w:t>
      </w:r>
      <w:r>
        <w:rPr>
          <w:rFonts w:ascii="Times New Roman;serif" w:hAnsi="Times New Roman;serif"/>
          <w:b w:val="false"/>
          <w:color w:val="000000"/>
          <w:sz w:val="24"/>
        </w:rPr>
        <w:t>. As a condition of my participation in the ESPP, I agree to accept any liability for secondary Class 1 NICs (“Employer NICs”) which may be payable by the Company or the Employer with respect to the purchase of the shares of Common Stock or otherwise payable in connection with my participation in the ESPP. Without prejudice to the foregoing, I agree to enter into the joint election with the Company and/or the Employer attached hereto as Exhibit E (the “Election”), the form of such Election being formally approved by HM Revenue and Customs (“HMRC”), and any other consent or elections required to accomplish the transfer of the Employer NICs to me. I further agree to execute such other joint elections as may be required between me and any successor to the Company and/or the Employer. I agree to enter into an Election prior to any event giving rise to Employer NICs. I further agree that the Company and/or the Employer may collect the Employer NICs by any of the means set forth in Section 4 of the Global Subscription Agreement or the Election.</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If I do not enter into an Election prior to the purchase of shares of Common Stock, I will not be entitled to purchase shares unless and until I enter into an Election, without any liability to the Company, the Employer or any other Subsidiary or Affiliate.</w:t>
      </w:r>
    </w:p>
    <w:p>
      <w:pPr>
        <w:pStyle w:val="TextBody"/>
        <w:bidi w:val="0"/>
        <w:spacing w:lineRule="auto" w:line="288" w:before="240" w:after="240"/>
        <w:jc w:val="both"/>
        <w:rPr/>
      </w:pPr>
      <w:r>
        <w:rPr>
          <w:rFonts w:ascii="Times New Roman;serif" w:hAnsi="Times New Roman;serif"/>
          <w:b/>
          <w:color w:val="000000"/>
          <w:sz w:val="24"/>
        </w:rPr>
        <w:t>Responsibility for Taxes</w:t>
      </w:r>
      <w:r>
        <w:rPr>
          <w:rFonts w:ascii="Times New Roman;serif" w:hAnsi="Times New Roman;serif"/>
          <w:b w:val="false"/>
          <w:color w:val="000000"/>
          <w:sz w:val="24"/>
        </w:rPr>
        <w:t>. The following supplements Section 4 of the Global Subscription Agreement:</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to Section 4 of the Global Subscription Agreement, I agree that I am liable for all Tax-Related Items and hereby covenant to pay all such Tax-Related Items as and when requested by the Company or the Employer or by HMRC (or any other tax authority or any other relevant authority). I also agree to indemnify and keep indemnified the Company and the Employer against any Tax-Related Items that they are required to pay or withhold or have paid or will pay to HMRC (or any other tax authority or any other relevant authority) on my behalf.</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if I am a director or executive officer of the Company (within the meaning of Section 13(k) of the Exchange Act), I may not be able to indemnify the Company or the Employer for the amount of any income tax not collected from or paid by me, as it may be considered a loan. In this case, the amount of any income tax not collected may constitute an additional benefit to me on which additional income tax and NICs may be payable. I understand that I will be responsible for reporting and paying any income tax due on this additional benefit directly to HMRC under the self-assessment regime and for paying the Company and/or Employer for the value of any employee NICs due on this additional benefit, which may be collected from me by the Company or the Employer by any of the means referred to in Section 4 of the Global Subscription Agreement.</w:t>
      </w:r>
    </w:p>
    <w:p>
      <w:pPr>
        <w:pStyle w:val="TextBody"/>
        <w:bidi w:val="0"/>
        <w:spacing w:lineRule="auto" w:line="288" w:before="240" w:after="240"/>
        <w:jc w:val="both"/>
        <w:rPr>
          <w:rFonts w:ascii="Times New Roman;serif" w:hAnsi="Times New Roman;serif"/>
          <w:b/>
          <w:i/>
          <w:color w:val="000000"/>
          <w:sz w:val="24"/>
        </w:rPr>
      </w:pPr>
      <w:r>
        <w:rPr>
          <w:rFonts w:ascii="Times New Roman;serif" w:hAnsi="Times New Roman;serif"/>
          <w:b/>
          <w:i/>
          <w:color w:val="000000"/>
          <w:sz w:val="24"/>
        </w:rPr>
        <w:t>Notifications</w:t>
      </w:r>
    </w:p>
    <w:p>
      <w:pPr>
        <w:pStyle w:val="TextBody"/>
        <w:bidi w:val="0"/>
        <w:spacing w:lineRule="auto" w:line="288" w:before="240" w:after="240"/>
        <w:jc w:val="both"/>
        <w:rPr/>
      </w:pPr>
      <w:r>
        <w:rPr>
          <w:rFonts w:ascii="Times New Roman;serif" w:hAnsi="Times New Roman;serif"/>
          <w:b/>
          <w:color w:val="000000"/>
          <w:sz w:val="24"/>
        </w:rPr>
        <w:t>Securities Law Information</w:t>
      </w:r>
      <w:r>
        <w:rPr>
          <w:rFonts w:ascii="Times New Roman;serif" w:hAnsi="Times New Roman;serif"/>
          <w:b w:val="false"/>
          <w:color w:val="000000"/>
          <w:sz w:val="24"/>
        </w:rPr>
        <w:t>. The Company has prepared and made available an Information Document in reliance on an exemption from prospectus requirements that may otherwise apply to the offer of the ESPP in the United Kingdom. The Information Document is attached hereto as Exhibit 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02920"/>
                <wp:effectExtent l="0" t="0" r="0" b="0"/>
                <wp:wrapNone/>
                <wp:docPr id="128" name="Frame127"/>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2012 Employee Stock Purchase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Document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for Eligible Employees</w:t>
        <w:br/>
        <w:t>in the European Union (EU) / European Economic Area (EEA) and the United Kingdom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Introduction</w:t>
      </w:r>
    </w:p>
    <w:p>
      <w:pPr>
        <w:pStyle w:val="TextBody"/>
        <w:bidi w:val="0"/>
        <w:spacing w:lineRule="auto" w:line="288" w:before="0" w:after="0"/>
        <w:jc w:val="both"/>
        <w:rPr/>
      </w:pPr>
      <w:r>
        <w:rPr>
          <w:rFonts w:ascii="Times New Roman;serif" w:hAnsi="Times New Roman;serif"/>
          <w:b w:val="false"/>
          <w:color w:val="000000"/>
          <w:sz w:val="20"/>
        </w:rPr>
        <w:br/>
        <w:t>Palo Alto Networks, Inc. (the “</w:t>
      </w:r>
      <w:r>
        <w:rPr>
          <w:rFonts w:ascii="Times New Roman;serif" w:hAnsi="Times New Roman;serif"/>
          <w:b/>
          <w:color w:val="000000"/>
          <w:sz w:val="20"/>
        </w:rPr>
        <w:t>Company</w:t>
      </w:r>
      <w:r>
        <w:rPr>
          <w:color w:val="000000"/>
        </w:rPr>
        <w:t xml:space="preserve">” </w:t>
      </w:r>
      <w:r>
        <w:rPr>
          <w:rFonts w:ascii="Times New Roman;serif" w:hAnsi="Times New Roman;serif"/>
          <w:b w:val="false"/>
          <w:color w:val="000000"/>
          <w:sz w:val="20"/>
        </w:rPr>
        <w:t>or the “</w:t>
      </w:r>
      <w:r>
        <w:rPr>
          <w:rFonts w:ascii="Times New Roman;serif" w:hAnsi="Times New Roman;serif"/>
          <w:b/>
          <w:color w:val="000000"/>
          <w:sz w:val="20"/>
        </w:rPr>
        <w:t>Issuer</w:t>
      </w:r>
      <w:r>
        <w:rPr>
          <w:color w:val="000000"/>
        </w:rPr>
        <w:t>”</w:t>
      </w:r>
      <w:r>
        <w:rPr>
          <w:rFonts w:ascii="Times New Roman;serif" w:hAnsi="Times New Roman;serif"/>
          <w:b w:val="false"/>
          <w:color w:val="000000"/>
          <w:sz w:val="20"/>
        </w:rPr>
        <w:t>) offers to its non-U.S. eligible employees (including employees in the EU/EEA and the United Kingdom) the opportunity to purchase shares of common stock, par value USD $0.0001 (the "</w:t>
      </w:r>
      <w:r>
        <w:rPr>
          <w:rFonts w:ascii="Times New Roman;serif" w:hAnsi="Times New Roman;serif"/>
          <w:b/>
          <w:color w:val="000000"/>
          <w:sz w:val="20"/>
        </w:rPr>
        <w:t>Shares</w:t>
      </w:r>
      <w:r>
        <w:rPr>
          <w:rFonts w:ascii="Times New Roman;serif" w:hAnsi="Times New Roman;serif"/>
          <w:b w:val="false"/>
          <w:color w:val="000000"/>
          <w:sz w:val="20"/>
        </w:rPr>
        <w:t>"), under the 2012 Employee Stock Purchase Plan, as amended and restated (the “</w:t>
      </w:r>
      <w:r>
        <w:rPr>
          <w:rFonts w:ascii="Times New Roman;serif" w:hAnsi="Times New Roman;serif"/>
          <w:b/>
          <w:color w:val="000000"/>
          <w:sz w:val="20"/>
        </w:rPr>
        <w:t>Plan</w:t>
      </w:r>
      <w:r>
        <w:rPr>
          <w:color w:val="000000"/>
        </w:rPr>
        <w:t>”</w:t>
      </w:r>
      <w:r>
        <w:rPr>
          <w:rFonts w:ascii="Times New Roman;serif" w:hAnsi="Times New Roman;serif"/>
          <w:b w:val="false"/>
          <w:color w:val="000000"/>
          <w:sz w:val="20"/>
        </w:rPr>
        <w:t xml:space="preserve">), at a discounted purchase price through contributions that are made by payroll deductions. This information document provides information about the number and nature of the securities and the reasons for and details of the offer or allotment. To that end, this information document describes the Issuer, the Plan, the grant of purchase rights under the Plan and the Shares to be purchased.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Exemption from the EU Prospectus Regulation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To the extent offers of shares under the Plan are offers of securities to the public in the EU/EEA and the United Kingdom, the Issuer can claim an exemption from the obligation to publish a prospectus which meets the requirements set forth in Regulation (EU) 2017/1129 of the European Parliament and of the Council of 14 June 2017 (the "</w:t>
      </w:r>
      <w:r>
        <w:rPr>
          <w:rFonts w:ascii="Times New Roman;serif" w:hAnsi="Times New Roman;serif"/>
          <w:b/>
          <w:color w:val="000000"/>
          <w:sz w:val="20"/>
        </w:rPr>
        <w:t>Prospectus Regulation</w:t>
      </w:r>
      <w:r>
        <w:rPr>
          <w:rFonts w:ascii="Times New Roman;serif" w:hAnsi="Times New Roman;serif"/>
          <w:b w:val="false"/>
          <w:color w:val="000000"/>
          <w:sz w:val="20"/>
        </w:rPr>
        <w:t>") and the United Kingdom Prospectus Regulation Rules (“</w:t>
      </w:r>
      <w:r>
        <w:rPr>
          <w:rFonts w:ascii="Times New Roman;serif" w:hAnsi="Times New Roman;serif"/>
          <w:b/>
          <w:color w:val="000000"/>
          <w:sz w:val="20"/>
        </w:rPr>
        <w:t>PRR</w:t>
      </w:r>
      <w:r>
        <w:rPr>
          <w:color w:val="000000"/>
        </w:rPr>
        <w:t>”</w:t>
      </w:r>
      <w:r>
        <w:rPr>
          <w:rFonts w:ascii="Times New Roman;serif" w:hAnsi="Times New Roman;serif"/>
          <w:b w:val="false"/>
          <w:color w:val="000000"/>
          <w:sz w:val="20"/>
        </w:rPr>
        <w:t>), respectively. Article 1(4)(i) of the Prospectus Regulation and Rule 1.2.3(4)(i) of the PRR exempt issuers from the obligation to publish a prospectus if the securities are offered to existing or former directors or employees by their employer or by an affiliated undertaking provided that the present document is made available to the eligible employees (the "</w:t>
      </w:r>
      <w:r>
        <w:rPr>
          <w:rFonts w:ascii="Times New Roman;serif" w:hAnsi="Times New Roman;serif"/>
          <w:b/>
          <w:color w:val="000000"/>
          <w:sz w:val="20"/>
        </w:rPr>
        <w:t>Exemption</w:t>
      </w:r>
      <w:r>
        <w:rPr>
          <w:rFonts w:ascii="Times New Roman;serif" w:hAnsi="Times New Roman;serif"/>
          <w:b w:val="false"/>
          <w:color w:val="000000"/>
          <w:sz w:val="20"/>
        </w:rPr>
        <w:t>"). The Exemption has been incorporated into United Kingdom domestic law in Rule 1.2.3 of the United Kingdom Prospectus Rules contained in the Financial Conduct Authority's Handbook. Accordingly, in reliance on the Exemption, for offers under the Plan made after this information document is made available to eligible employees, the Issuer has not prepared or filed a prospectus with any competent regulatory authority in the EU/EEA or the United Kingdom in relation to offers made under the Plan, and no such prospectus has been approved and/or published in the EU/EEA or the United Kingdom.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document does not constitute a prospectus. Instead, this document contains the information that the Company must make available to employees in the EU/EEA and the United Kingdom in order to comply with the Exemption.</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Information about the Issuer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Issuer is Palo Alto Networks, Inc., a U.S. publicly-traded corporation which has listed its Shares on the Nasdaq stock exchange (“</w:t>
      </w:r>
      <w:r>
        <w:rPr>
          <w:rFonts w:ascii="Times New Roman;serif" w:hAnsi="Times New Roman;serif"/>
          <w:b/>
          <w:color w:val="000000"/>
          <w:sz w:val="20"/>
        </w:rPr>
        <w:t>Nasdaq</w:t>
      </w:r>
      <w:r>
        <w:rPr>
          <w:color w:val="000000"/>
        </w:rPr>
        <w:t>”</w:t>
      </w:r>
      <w:r>
        <w:rPr>
          <w:rFonts w:ascii="Times New Roman;serif" w:hAnsi="Times New Roman;serif"/>
          <w:b w:val="false"/>
          <w:color w:val="000000"/>
          <w:sz w:val="20"/>
        </w:rPr>
        <w:t>) under the ticker symbol "PANW." The International Securities Identification Number (the "</w:t>
      </w:r>
      <w:r>
        <w:rPr>
          <w:rFonts w:ascii="Times New Roman;serif" w:hAnsi="Times New Roman;serif"/>
          <w:b/>
          <w:color w:val="000000"/>
          <w:sz w:val="20"/>
        </w:rPr>
        <w:t>ISIN</w:t>
      </w:r>
      <w:r>
        <w:rPr>
          <w:rFonts w:ascii="Times New Roman;serif" w:hAnsi="Times New Roman;serif"/>
          <w:b w:val="false"/>
          <w:color w:val="000000"/>
          <w:sz w:val="20"/>
        </w:rPr>
        <w:t xml:space="preserve">") for the Shares is </w:t>
      </w:r>
      <w:r>
        <w:rPr>
          <w:rFonts w:ascii="Times New Roman;serif" w:hAnsi="Times New Roman;serif"/>
          <w:b w:val="false"/>
          <w:color w:val="000000"/>
          <w:sz w:val="20"/>
          <w:shd w:fill="FFFFFF" w:val="clear"/>
        </w:rPr>
        <w:t>US6974351057</w:t>
      </w:r>
      <w:r>
        <w:rPr>
          <w:rFonts w:ascii="Times New Roman;serif" w:hAnsi="Times New Roman;serif"/>
          <w:b w:val="false"/>
          <w:color w:val="000000"/>
          <w:sz w:val="20"/>
        </w:rPr>
        <w:t>. The U.S. security identification number (the "</w:t>
      </w:r>
      <w:r>
        <w:rPr>
          <w:rFonts w:ascii="Times New Roman;serif" w:hAnsi="Times New Roman;serif"/>
          <w:b/>
          <w:color w:val="000000"/>
          <w:sz w:val="20"/>
        </w:rPr>
        <w:t>CUSIP number</w:t>
      </w:r>
      <w:r>
        <w:rPr>
          <w:rFonts w:ascii="Times New Roman;serif" w:hAnsi="Times New Roman;serif"/>
          <w:b w:val="false"/>
          <w:color w:val="000000"/>
          <w:sz w:val="20"/>
        </w:rPr>
        <w:t xml:space="preserve">") for the Shares is </w:t>
      </w:r>
      <w:r>
        <w:rPr>
          <w:rFonts w:ascii="Times New Roman;serif" w:hAnsi="Times New Roman;serif"/>
          <w:b w:val="false"/>
          <w:color w:val="000000"/>
          <w:sz w:val="20"/>
          <w:shd w:fill="FFFFFF" w:val="clear"/>
        </w:rPr>
        <w:t>697435105</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Issuer’s address is 3000 Tannery Way, Santa Clara, California 95054, U.S.A.</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 information about the Issuer, as well as the current trading price of the Shares and the total number of Shares that are issued and outstanding, can be found on its website at </w:t>
      </w:r>
      <w:r>
        <w:rPr>
          <w:rFonts w:ascii="Times New Roman;serif" w:hAnsi="Times New Roman;serif"/>
          <w:b w:val="false"/>
          <w:color w:val="000000"/>
          <w:sz w:val="20"/>
          <w:u w:val="single"/>
        </w:rPr>
        <w:t>https://investors.paloaltonetworks.com</w:t>
      </w:r>
      <w:r>
        <w:rPr>
          <w:rFonts w:ascii="Times New Roman;serif" w:hAnsi="Times New Roman;serif"/>
          <w:b w:val="false"/>
          <w:color w:val="000000"/>
          <w:sz w:val="20"/>
        </w:rPr>
        <w:t>. Filings made by the Company with the U.S. Securities and Exchange Commission ("</w:t>
      </w:r>
      <w:r>
        <w:rPr>
          <w:rFonts w:ascii="Times New Roman;serif" w:hAnsi="Times New Roman;serif"/>
          <w:b/>
          <w:color w:val="000000"/>
          <w:sz w:val="20"/>
        </w:rPr>
        <w:t>SEC</w:t>
      </w:r>
      <w:r>
        <w:rPr>
          <w:rFonts w:ascii="Times New Roman;serif" w:hAnsi="Times New Roman;serif"/>
          <w:b w:val="false"/>
          <w:color w:val="000000"/>
          <w:sz w:val="20"/>
        </w:rPr>
        <w:t xml:space="preserve">") are available on its website at www.sec.gov. You also can access these filings through the Investor Relations section of the Company’s website, or you can request copies of the filings by contacting the Company’s Investor Relations Department at: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Palo Alto Networks,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3000 Tannery Way, Santa Clara, California 95054, U.S.A.</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https://investors.paloaltonetworks.com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(408) 753-4000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Reasons for the Offer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purpose of the Plan is to provide eligible employees of the Company and subsidiaries or affiliates of the Company that have been designated by the Administrator (as defined below) as eligible to participate in the Plan (“</w:t>
      </w:r>
      <w:r>
        <w:rPr>
          <w:rFonts w:ascii="Times New Roman;serif" w:hAnsi="Times New Roman;serif"/>
          <w:b/>
          <w:color w:val="000000"/>
          <w:sz w:val="20"/>
        </w:rPr>
        <w:t>Designated Companies</w:t>
      </w:r>
      <w:r>
        <w:rPr>
          <w:color w:val="000000"/>
        </w:rPr>
        <w:t>”</w:t>
      </w:r>
      <w:r>
        <w:rPr>
          <w:rFonts w:ascii="Times New Roman;serif" w:hAnsi="Times New Roman;serif"/>
          <w:b w:val="false"/>
          <w:color w:val="000000"/>
          <w:sz w:val="20"/>
        </w:rPr>
        <w:t>) with an opportunity to purchase Shares through accumulated contributions. The Company intends for the Plan to have two components: a component that is intended to qualify as an “employee stock purchase plan” under Section 423 of the U.S. Internal Revenue Code of 1986 (the “</w:t>
      </w:r>
      <w:r>
        <w:rPr>
          <w:rFonts w:ascii="Times New Roman;serif" w:hAnsi="Times New Roman;serif"/>
          <w:b/>
          <w:color w:val="000000"/>
          <w:sz w:val="20"/>
        </w:rPr>
        <w:t>423 Component</w:t>
      </w:r>
      <w:r>
        <w:rPr>
          <w:color w:val="000000"/>
        </w:rPr>
        <w:t>”</w:t>
      </w:r>
      <w:r>
        <w:rPr>
          <w:rFonts w:ascii="Times New Roman;serif" w:hAnsi="Times New Roman;serif"/>
          <w:b w:val="false"/>
          <w:color w:val="000000"/>
          <w:sz w:val="20"/>
        </w:rPr>
        <w:t>) and a component that is not intended to qualify as such (the “</w:t>
      </w:r>
      <w:r>
        <w:rPr>
          <w:rFonts w:ascii="Times New Roman;serif" w:hAnsi="Times New Roman;serif"/>
          <w:b/>
          <w:color w:val="000000"/>
          <w:sz w:val="20"/>
        </w:rPr>
        <w:t>Non‐423 Component</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Details of the Offer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Administration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The Plan is offered on a wholly discretionary basis. The Plan is administered by the Company’s Board of Directors (“</w:t>
      </w:r>
      <w:r>
        <w:rPr>
          <w:rFonts w:ascii="Times New Roman;serif" w:hAnsi="Times New Roman;serif"/>
          <w:b/>
          <w:color w:val="000000"/>
          <w:sz w:val="20"/>
        </w:rPr>
        <w:t>Board</w:t>
      </w:r>
      <w:r>
        <w:rPr>
          <w:color w:val="000000"/>
        </w:rPr>
        <w:t>”</w:t>
      </w:r>
      <w:r>
        <w:rPr>
          <w:rFonts w:ascii="Times New Roman;serif" w:hAnsi="Times New Roman;serif"/>
          <w:b w:val="false"/>
          <w:color w:val="000000"/>
          <w:sz w:val="20"/>
        </w:rPr>
        <w:t>), or a committee appointed by the Board (the “</w:t>
      </w:r>
      <w:r>
        <w:rPr>
          <w:rFonts w:ascii="Times New Roman;serif" w:hAnsi="Times New Roman;serif"/>
          <w:b/>
          <w:color w:val="000000"/>
          <w:sz w:val="20"/>
        </w:rPr>
        <w:t>Administrator</w:t>
      </w:r>
      <w:r>
        <w:rPr>
          <w:color w:val="000000"/>
        </w:rPr>
        <w:t>”</w:t>
      </w:r>
      <w:r>
        <w:rPr>
          <w:rFonts w:ascii="Times New Roman;serif" w:hAnsi="Times New Roman;serif"/>
          <w:b w:val="false"/>
          <w:color w:val="000000"/>
          <w:sz w:val="20"/>
        </w:rPr>
        <w:t xml:space="preserve">). The Administrator will have full and exclusive discretionary authority to construe, interpret and apply the terms of the Plan,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Eligibility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Generally, all individuals who are common law employees of the Company or a Designated Company and are customarily employed for at least twenty hours per week and more than five months in any calendar year are eligible to participate in the Plan. However, t</w:t>
      </w:r>
      <w:r>
        <w:rPr>
          <w:rFonts w:ascii="Times New Roman;serif" w:hAnsi="Times New Roman;serif"/>
          <w:b w:val="false"/>
          <w:color w:val="000000"/>
          <w:sz w:val="20"/>
          <w:shd w:fill="FFFFFF" w:val="clear"/>
        </w:rPr>
        <w:t>he Administrator also may determine (subject to the terms of the Plan) that certain individuals will or will not be eligible to participate in the Plan if they have not completed at least two years of service since their last hire date (or such lesser period of time as may be determined by the Administrator in its discretion), or they customarily work no more than twenty hours per week or five months per calendar year (or such lesser period of time as may be determined by the Administrator in its discretion)</w:t>
      </w:r>
      <w:r>
        <w:rPr>
          <w:color w:val="4C4C4C"/>
        </w:rPr>
        <w:t xml:space="preserve"> </w:t>
      </w:r>
      <w:r>
        <w:rPr>
          <w:rFonts w:ascii="Times New Roman;serif" w:hAnsi="Times New Roman;serif"/>
          <w:b w:val="false"/>
          <w:color w:val="4C4C4C"/>
          <w:sz w:val="20"/>
        </w:rPr>
        <w:t>as required under applicable local law</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Time Frame of the Offer and Enrollment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Each “</w:t>
      </w:r>
      <w:r>
        <w:rPr>
          <w:rFonts w:ascii="Times New Roman;serif" w:hAnsi="Times New Roman;serif"/>
          <w:b/>
          <w:color w:val="000000"/>
          <w:sz w:val="20"/>
        </w:rPr>
        <w:t>Offering Period</w:t>
      </w:r>
      <w:r>
        <w:rPr>
          <w:color w:val="000000"/>
        </w:rPr>
        <w:t xml:space="preserve">” </w:t>
      </w:r>
      <w:r>
        <w:rPr>
          <w:rFonts w:ascii="Times New Roman;serif" w:hAnsi="Times New Roman;serif"/>
          <w:b w:val="false"/>
          <w:color w:val="000000"/>
          <w:sz w:val="20"/>
        </w:rPr>
        <w:t>under the Plan is approximately twenty-four months in duration, commencing on the first trading day on or after February 28 and August 31 of each year and ending on the first trading day on or after February 28 and August 31, approximately twenty-four months later. Each Offering Period consists of four six-month “</w:t>
      </w:r>
      <w:r>
        <w:rPr>
          <w:rFonts w:ascii="Times New Roman;serif" w:hAnsi="Times New Roman;serif"/>
          <w:b/>
          <w:color w:val="000000"/>
          <w:sz w:val="20"/>
        </w:rPr>
        <w:t>Purchase Periods</w:t>
      </w:r>
      <w:r>
        <w:rPr>
          <w:color w:val="000000"/>
        </w:rPr>
        <w:t xml:space="preserve">” </w:t>
      </w:r>
      <w:r>
        <w:rPr>
          <w:rFonts w:ascii="Times New Roman;serif" w:hAnsi="Times New Roman;serif"/>
          <w:b w:val="false"/>
          <w:color w:val="000000"/>
          <w:sz w:val="20"/>
        </w:rPr>
        <w:t xml:space="preserve">during which your payroll deductions or other contributions are accumulated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are eligible to participate in the Plan, you may become a participant by submitting to the Company’s stock administration office (or its designee), on or before a date determined by the Administrator prior to the applicable enrollment date for the Offering Period, a properly completed subscription agreement authorizing Contributions (as defined below) in the form provided by the Administrator for such purpose, or following an electronic or other enrollment procedure determined by the Administrator.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Once you become a participant in the Plan, you will automatically participate in each succeeding Offering Period unless you either withdraw from the Plan or you cease to be an eligible employee. You are not required to complete any additional subscription agreement, form or procedure in order to continue participation in the Plan, unless requested by the Administrator for legal or administrative reasons.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Minimum and Maximum Amount of Contributions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You may contribute through contributions (in the form of payroll deductions or otherwise, to the extent permitted by the Administrator) (“</w:t>
      </w:r>
      <w:r>
        <w:rPr>
          <w:rFonts w:ascii="Times New Roman;serif" w:hAnsi="Times New Roman;serif"/>
          <w:b/>
          <w:color w:val="000000"/>
          <w:sz w:val="20"/>
        </w:rPr>
        <w:t>Contributions</w:t>
      </w:r>
      <w:r>
        <w:rPr>
          <w:color w:val="000000"/>
        </w:rPr>
        <w:t>”</w:t>
      </w:r>
      <w:r>
        <w:rPr>
          <w:rFonts w:ascii="Times New Roman;serif" w:hAnsi="Times New Roman;serif"/>
          <w:b w:val="false"/>
          <w:color w:val="000000"/>
          <w:sz w:val="20"/>
        </w:rPr>
        <w:t>) an amount not exceeding fifteen percent (15%) of your eligible Compensation (as defined below) toward the purchase of Shares under the Plan, subject to the terms of the Plan. The payroll deductions will commence on the first payday following the first trading day of the Offering Period and will continue until the first trading day on or after February 28 and August 31 of each Purchase Period (the “</w:t>
      </w:r>
      <w:r>
        <w:rPr>
          <w:rFonts w:ascii="Times New Roman;serif" w:hAnsi="Times New Roman;serif"/>
          <w:b/>
          <w:color w:val="000000"/>
          <w:sz w:val="20"/>
        </w:rPr>
        <w:t>Exercise Date</w:t>
      </w:r>
      <w:r>
        <w:rPr>
          <w:color w:val="000000"/>
        </w:rPr>
        <w:t>”</w:t>
      </w:r>
      <w:r>
        <w:rPr>
          <w:rFonts w:ascii="Times New Roman;serif" w:hAnsi="Times New Roman;serif"/>
          <w:b w:val="false"/>
          <w:color w:val="000000"/>
          <w:sz w:val="20"/>
        </w:rPr>
        <w:t>) unless sooner altered or terminated as provided in the Plan. Contributions may be made in whole percentages only.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purposes of the Plan, your “</w:t>
      </w:r>
      <w:r>
        <w:rPr>
          <w:rFonts w:ascii="Times New Roman;serif" w:hAnsi="Times New Roman;serif"/>
          <w:b/>
          <w:color w:val="000000"/>
          <w:sz w:val="20"/>
        </w:rPr>
        <w:t>Compensation</w:t>
      </w:r>
      <w:r>
        <w:rPr>
          <w:color w:val="000000"/>
        </w:rPr>
        <w:t xml:space="preserve">” </w:t>
      </w:r>
      <w:r>
        <w:rPr>
          <w:rFonts w:ascii="Times New Roman;serif" w:hAnsi="Times New Roman;serif"/>
          <w:b w:val="false"/>
          <w:color w:val="000000"/>
          <w:sz w:val="20"/>
        </w:rPr>
        <w:t>includes base straight time gross earnings, payments for overtime and shift premium, but excludes payments for commissions, incentive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otherwise determined by the Administrator, during a Purchase Period, you may not increase the rate of your Contributions and may only decrease the rate of your Contributions one time per Purchase Period. Any such decrease during a Purchase Period requires you to properly complete and submit to the Company’s stock administration office (or another Company designee), on or before a date determined by the Administrator prior to an applicable Exercise Date, a new subscription agreement authorizing the change in Contribution rate or follow an electronic or other procedure prescribed by the Administrator.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Details of the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price is eighty-five percent (85%) of (i) the fair market value of the Shares on the first trading day of the Offering Period or (ii) the fair market value of the Shares on the applicable Exercise Date, whichever is lower. The fair market value is generally the closing price of a Share on the Nasdaq on the Exercise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Nature of the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each Exercise Date, so long as the Plan remains in effect and provided that you have not withdrawn from the Offering Period in accordance with the requirements of the Plan, the Company shall apply the funds then in your account to the purchase of whole Shares. Any Contributions accumulated in your account which are not sufficient to purchase a full Share will be promptly refunded to you promptly following an Exercise Date.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Number and Nature of the Securities Offered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maximum number of Shares initially reserved for issuance under the Plan was 1,000,000 Shares. However, the number of Shares available for issuance under the Plan is increased on an annual basis in accordance with the terms of the Plan.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Delivery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soon as reasonably practicable after each Exercise Date, the Company will arrange the delivery to each participant of the Shares purchased upon exercise of his or her purchase right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dispositions of such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Commission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has selected a broker to administer the issuance of Shares under the Plan (currently E*TRADE Corporate Financial Services, Inc.) (the “</w:t>
      </w:r>
      <w:r>
        <w:rPr>
          <w:rFonts w:ascii="Times New Roman;serif" w:hAnsi="Times New Roman;serif"/>
          <w:b/>
          <w:color w:val="000000"/>
          <w:sz w:val="20"/>
        </w:rPr>
        <w:t>Broker</w:t>
      </w:r>
      <w:r>
        <w:rPr>
          <w:color w:val="000000"/>
        </w:rPr>
        <w:t>”</w:t>
      </w:r>
      <w:r>
        <w:rPr>
          <w:rFonts w:ascii="Times New Roman;serif" w:hAnsi="Times New Roman;serif"/>
          <w:b w:val="false"/>
          <w:color w:val="000000"/>
          <w:sz w:val="20"/>
        </w:rPr>
        <w:t>). At the time of enrollment, you were or will be asked to open an account with the Broker.</w:t>
      </w:r>
      <w:r>
        <w:rPr>
          <w:color w:val="000000"/>
        </w:rPr>
        <w:t xml:space="preserve"> </w:t>
      </w:r>
      <w:r>
        <w:rPr>
          <w:rFonts w:ascii="Times New Roman;serif" w:hAnsi="Times New Roman;serif"/>
          <w:b w:val="false"/>
          <w:color w:val="000000"/>
          <w:sz w:val="20"/>
        </w:rPr>
        <w:t xml:space="preserve">You will not have to pay a fee for opening an account with the Broker for the management of your account or for the purchase of Shares. You are responsible for all the commissions and fees related to any sale or transfer of the Shares from the account with the Broker. In addition, the SEC applies a fee to most securities transactions at a rate determined by the SEC. Such commissions and fees are subject to change at any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Participation in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You may withdraw from the Plan at least one (1) business day prior to an Exercise Date by submitting to the Company’s stock administration office (or its designee) a written notice of withdrawal in the form determined by the Administrator for such purpose, or following an electronic or other withdrawal procedure determined by the Administrator. Upon withdrawal from the Plan, all of your accumulated payroll deductions will be returned to you, without interest (unless otherwise required by applicable law), promptly after receipt of notice of withdrawal, and your purchase right for the Offering Period will be automatically terminated, and no further Contributions for the purchase of Shares will be made for such Offering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voluntarily withdraw from the Plan, you may not resume participation in the Plan during the same Offering Period. However, you may participate in any Offering Period under the Plan which begins on a date after such withdrawal by completing a subscription agreement in the same manner as described in the Plan for initial participation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of Employment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you cease to be an eligible employee, for any reason, you will be deemed to have elected to withdraw from the Plan and the Contributions credited to your account during the Offering Period but not yet used to purchase Shares under the Plan will be returned to you without interest (unless otherwise required by applicable law), and your purchase right will be automatically terminated.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Non-transferability of Purchase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Neither Contributions credited to your account nor any rights with regard to the exercise of a purchase right or to receive Shares under the Plan may be assigned, transferred, pledged or otherwise disposed of in any way (other than by will or the laws of descent and distribution). Any such attempt at assignment, transfer, pledge or other disposition will be without effect, except that the Company may treat such act as an election to withdraw funds from an Offering Period in accordance with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Restriction on Shares and Transferability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in this offering under the Plan are registered on a registration statement on Form S-8 with the SEC and are generally freely transferable (subject however to any transferability restrictions resulting from applicable insider trading laws and the Company's insider trading policy).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Plan is intended to provide Shares for investment and not for resale. The Company does not, however, intend to restrict or influence any participant in the conduct of his or her own affairs. Therefore, you may sell Shares purchased under the Plan at any time you choose, subject to compliance with any applicable securities laws. You assume the risk of any market or currency fluctuations in the price of the Shares. Moreover, you should be aware of the risks of investing in Shares as described, in particular, in the “Risk Factors” section of certain of the Company’s SEC filings.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Termination, Suspension, or Amendment of the Plan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on the next Exercise Date (which may be sooner than originally scheduled, if determined by the Administrator in its discretion), or may elect to permit Offering Periods to expire in accordance with their terms (and subject to any adjustment pursuant to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 Offering Periods are terminated prior to expiration, all amounts then credited to participants’ accounts that have not been used to purchase Shares will be returned to participants without interest (unless otherwise required by applicable laws) as soon as administratively practicable.</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Information on the Shares and Rights Attached to the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Shares acquired under the Plan are shares of the Company’s common stock, which will allow a shareholder to participate in: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Dividends</w:t>
      </w:r>
      <w:r>
        <w:rPr>
          <w:color w:val="000000"/>
        </w:rPr>
        <w:t xml:space="preserve"> – </w:t>
      </w:r>
      <w:r>
        <w:rPr>
          <w:rFonts w:ascii="Times New Roman;serif" w:hAnsi="Times New Roman;serif"/>
          <w:b w:val="false"/>
          <w:color w:val="000000"/>
          <w:sz w:val="20"/>
        </w:rPr>
        <w:t xml:space="preserve">If and when declared payable by the Company as authorized in its bylaws. </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Voting</w:t>
      </w:r>
      <w:r>
        <w:rPr>
          <w:color w:val="000000"/>
        </w:rPr>
        <w:t xml:space="preserve"> – </w:t>
      </w:r>
      <w:r>
        <w:rPr>
          <w:rFonts w:ascii="Times New Roman;serif" w:hAnsi="Times New Roman;serif"/>
          <w:b w:val="false"/>
          <w:color w:val="000000"/>
          <w:sz w:val="20"/>
        </w:rPr>
        <w:t>A shareholder will be entitled to vote at the Company’s shareholder meetings where each of the Shares will count for one vote.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Information Reporting</w:t>
      </w:r>
      <w:r>
        <w:rPr>
          <w:color w:val="000000"/>
        </w:rPr>
        <w:t xml:space="preserve"> – </w:t>
      </w:r>
      <w:r>
        <w:rPr>
          <w:rFonts w:ascii="Times New Roman;serif" w:hAnsi="Times New Roman;serif"/>
          <w:b w:val="false"/>
          <w:color w:val="000000"/>
          <w:sz w:val="20"/>
        </w:rPr>
        <w:t>A shareholder will have the right to receive certain information from the Company such as the Company’s annual report to shareholders and annual proxy statement. The Company can make such information available for its shareholders at its office and/or via its website.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Liquidation Proceeds</w:t>
      </w:r>
      <w:r>
        <w:rPr>
          <w:color w:val="000000"/>
        </w:rPr>
        <w:t xml:space="preserve"> – </w:t>
      </w:r>
      <w:r>
        <w:rPr>
          <w:rFonts w:ascii="Times New Roman;serif" w:hAnsi="Times New Roman;serif"/>
          <w:b w:val="false"/>
          <w:color w:val="000000"/>
          <w:sz w:val="20"/>
        </w:rPr>
        <w:t>In the event of liquidation, dissolution or winding up of the Company, the holders of Shares are entitled to share ratably in all assets remaining after payment of or provisions for the Company's liabilities, subject to prior rights or preferred stock, if any, then outstanding.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No Preemptive, Redemptive or Conversion Provisions</w:t>
      </w:r>
      <w:r>
        <w:rPr>
          <w:color w:val="000000"/>
        </w:rPr>
        <w:t xml:space="preserve"> – </w:t>
      </w:r>
      <w:r>
        <w:rPr>
          <w:rFonts w:ascii="Times New Roman;serif" w:hAnsi="Times New Roman;serif"/>
          <w:b w:val="false"/>
          <w:color w:val="000000"/>
          <w:sz w:val="20"/>
        </w:rPr>
        <w:t>The Shares are not entitled to preemptive rights and are not subject to conversion or redemption.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Shares subject to the purchase right under the Plan, you will not be deemed a shareholder with the above rights until the Shares have been purchased and delivered to you.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issue other classes of shares and/or securities which are not part of this offer and the Plan.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Note that the Company may, at any time, but subject to the passing of a shareholder vote, amend its Bylaws and/or Certificate of Incorporation in a way that impacts the rights of holders of the Shares. These documents can be found on the Company's website at </w:t>
      </w:r>
      <w:r>
        <w:rPr>
          <w:rFonts w:ascii="Times New Roman;serif" w:hAnsi="Times New Roman;serif"/>
          <w:b w:val="false"/>
          <w:color w:val="000000"/>
          <w:sz w:val="20"/>
          <w:u w:val="single"/>
        </w:rPr>
        <w:t>https://investors.paloaltonetworks.com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shd w:fill="D9D9D9" w:val="clear"/>
        </w:rPr>
      </w:pPr>
      <w:r>
        <w:rPr>
          <w:rFonts w:ascii="Times New Roman;serif" w:hAnsi="Times New Roman;serif"/>
          <w:b/>
          <w:color w:val="000000"/>
          <w:sz w:val="20"/>
          <w:shd w:fill="D9D9D9" w:val="clear"/>
        </w:rPr>
        <w:t>Additional Information about the Plan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Additional information about the Plan can be found in your participant account on the website of the Broker (or any successor to the Broker). Requests for information about the Plan also can be directed to </w:t>
      </w:r>
      <w:r>
        <w:rPr>
          <w:rFonts w:ascii="Times New Roman;serif" w:hAnsi="Times New Roman;serif"/>
          <w:b w:val="false"/>
          <w:color w:val="000000"/>
          <w:sz w:val="20"/>
          <w:u w:val="single"/>
        </w:rPr>
        <w:t>equity@paloaltonetworks.com.</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 *</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33"/>
        <w:gridCol w:w="2926"/>
        <w:gridCol w:w="3946"/>
      </w:tblGrid>
      <w:tr>
        <w:trPr/>
        <w:tc>
          <w:tcPr>
            <w:tcW w:w="3333"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IMPORTANT NOTE</w:t>
            </w:r>
          </w:p>
        </w:tc>
      </w:tr>
      <w:tr>
        <w:trPr/>
        <w:tc>
          <w:tcPr>
            <w:tcW w:w="102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73" w:before="0" w:after="0"/>
              <w:jc w:val="both"/>
              <w:rPr>
                <w:rFonts w:ascii="Arial;sans-serif" w:hAnsi="Arial;sans-serif"/>
                <w:b w:val="false"/>
                <w:color w:val="000000"/>
                <w:sz w:val="20"/>
              </w:rPr>
            </w:pPr>
            <w:r>
              <w:rPr>
                <w:rFonts w:ascii="Arial;sans-serif" w:hAnsi="Arial;sans-serif"/>
                <w:b w:val="false"/>
                <w:color w:val="000000"/>
                <w:sz w:val="20"/>
              </w:rPr>
              <w:t>The Company is not providing any tax, legal or financial advice, nor is the Company making any recommendations regarding whether or not you decide to participate in the Plan. You should consult with your personal tax, legal and financial advisors regarding whether to participate in the Plan before taking any action related to the Plan. Further, depending upon where the Shares are listed, the country of your residence and/or the country in which your broker resides, you may be subject to insider trading restrictions and/or market abuse laws that may affect your ability to accept, acquire, sell or otherwise dispose of Shares, rights to Shares (e.g., purchase rights) or rights linked to the value of Shares during such times you are considered to have “inside information” regarding the Company as defined by the laws or regulations in your country. Local insider trading laws and regulations also may prohibit the cancellation or amendment of orders you place before you possessed inside information. Furthermore, you could be prohibited from (i) disclosing the inside information to any third party (other than on a “need to know” basis) and (ii) “tipping” third parties or causing them otherwise to buy or sell securities. Third parties may include fellow employees. Any restrictions under these laws or regulations are separate from and in addition to any restrictions that may be imposed under any applicable Company insider trading policy. Please note that it is your personal responsibility to comply with any applicable requirements or restrictions, and you should consult with your personal legal advisor to determine your personal obligations and duties.</w:t>
            </w:r>
          </w:p>
          <w:p>
            <w:pPr>
              <w:pStyle w:val="TableContents"/>
              <w:bidi w:val="0"/>
              <w:spacing w:before="0" w:after="0"/>
              <w:jc w:val="both"/>
              <w:rPr/>
            </w:pPr>
            <w:r>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240"/>
        <w:ind w:left="0" w:right="0" w:firstLine="72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02920"/>
                <wp:effectExtent l="0" t="0" r="0" b="0"/>
                <wp:wrapNone/>
                <wp:docPr id="129" name="Frame128"/>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lineRule="auto" w:line="276" w:before="0" w:after="240"/>
        <w:jc w:val="center"/>
        <w:rPr>
          <w:rFonts w:ascii="Times New Roman;serif" w:hAnsi="Times New Roman;serif"/>
          <w:b/>
          <w:color w:val="000000"/>
          <w:sz w:val="24"/>
        </w:rPr>
      </w:pPr>
      <w:r>
        <w:rPr>
          <w:rFonts w:ascii="Times New Roman;serif" w:hAnsi="Times New Roman;serif"/>
          <w:b/>
          <w:color w:val="000000"/>
          <w:sz w:val="24"/>
        </w:rPr>
        <w:t>Plan Nabycia Akcji Pracowniczych z 2012 r.</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Dokument Informacyjny</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Ważne Informacje dla Uprawnionych Pracowników w Unii Europejskiej (UE) / Europejskim Obszarze Gospodarczym (EOG) i w Wielkiej Brytanii</w:t>
      </w:r>
    </w:p>
    <w:p>
      <w:pPr>
        <w:pStyle w:val="TextBody"/>
        <w:bidi w:val="0"/>
        <w:spacing w:before="0" w:after="0"/>
        <w:jc w:val="left"/>
        <w:rPr/>
      </w:pPr>
      <w:r>
        <w:rPr/>
      </w:r>
    </w:p>
    <w:tbl>
      <w:tblPr>
        <w:tblW w:w="1711" w:type="dxa"/>
        <w:jc w:val="left"/>
        <w:tblInd w:w="0" w:type="dxa"/>
        <w:tblLayout w:type="fixed"/>
        <w:tblCellMar>
          <w:top w:w="28" w:type="dxa"/>
          <w:left w:w="28" w:type="dxa"/>
          <w:bottom w:w="28" w:type="dxa"/>
          <w:right w:w="28" w:type="dxa"/>
        </w:tblCellMar>
      </w:tblPr>
      <w:tblGrid>
        <w:gridCol w:w="548"/>
        <w:gridCol w:w="481"/>
        <w:gridCol w:w="682"/>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4"/>
              </w:rPr>
            </w:pPr>
            <w:r>
              <w:rPr>
                <w:rFonts w:ascii="Times New Roman;serif" w:hAnsi="Times New Roman;serif"/>
                <w:b/>
                <w:color w:val="000000"/>
                <w:sz w:val="24"/>
              </w:rPr>
              <w:t>Wprowadzenie</w:t>
            </w:r>
          </w:p>
        </w:tc>
      </w:tr>
    </w:tbl>
    <w:p>
      <w:pPr>
        <w:pStyle w:val="TextBody"/>
        <w:bidi w:val="0"/>
        <w:spacing w:before="0" w:after="0"/>
        <w:jc w:val="center"/>
        <w:rPr/>
      </w:pPr>
      <w:r>
        <w:rPr/>
      </w:r>
    </w:p>
    <w:p>
      <w:pPr>
        <w:pStyle w:val="TextBody"/>
        <w:bidi w:val="0"/>
        <w:spacing w:lineRule="auto" w:line="276" w:before="0" w:after="0"/>
        <w:jc w:val="both"/>
        <w:rPr/>
      </w:pPr>
      <w:r>
        <w:rPr>
          <w:rFonts w:ascii="Times New Roman;serif" w:hAnsi="Times New Roman;serif"/>
          <w:b w:val="false"/>
          <w:color w:val="000000"/>
          <w:sz w:val="24"/>
        </w:rPr>
        <w:t>Palo Alto Networks, Inc. („</w:t>
      </w:r>
      <w:r>
        <w:rPr>
          <w:rFonts w:ascii="Times New Roman;serif" w:hAnsi="Times New Roman;serif"/>
          <w:b/>
          <w:color w:val="000000"/>
          <w:sz w:val="24"/>
        </w:rPr>
        <w:t>Spółka</w:t>
      </w:r>
      <w:r>
        <w:rPr>
          <w:color w:val="000000"/>
        </w:rPr>
        <w:t xml:space="preserve">” </w:t>
      </w:r>
      <w:r>
        <w:rPr>
          <w:rFonts w:ascii="Times New Roman;serif" w:hAnsi="Times New Roman;serif"/>
          <w:b w:val="false"/>
          <w:color w:val="000000"/>
          <w:sz w:val="24"/>
        </w:rPr>
        <w:t>lub „</w:t>
      </w:r>
      <w:r>
        <w:rPr>
          <w:rFonts w:ascii="Times New Roman;serif" w:hAnsi="Times New Roman;serif"/>
          <w:b/>
          <w:color w:val="000000"/>
          <w:sz w:val="24"/>
        </w:rPr>
        <w:t>Emitent</w:t>
      </w:r>
      <w:r>
        <w:rPr>
          <w:color w:val="000000"/>
        </w:rPr>
        <w:t>”</w:t>
      </w:r>
      <w:r>
        <w:rPr>
          <w:rFonts w:ascii="Times New Roman;serif" w:hAnsi="Times New Roman;serif"/>
          <w:b w:val="false"/>
          <w:color w:val="000000"/>
          <w:sz w:val="24"/>
        </w:rPr>
        <w:t>) oferuje swoim uprawnionym pracownikom spoza Stanów Zjednoczonych (w tym pracownikom w UE/EOG i Wielkiej Brytanii) możliwość nabycia akcji zwykłych o wartości nominalnej 0,0001 USD („</w:t>
      </w:r>
      <w:r>
        <w:rPr>
          <w:rFonts w:ascii="Times New Roman;serif" w:hAnsi="Times New Roman;serif"/>
          <w:b/>
          <w:color w:val="000000"/>
          <w:sz w:val="24"/>
        </w:rPr>
        <w:t>Akcje</w:t>
      </w:r>
      <w:r>
        <w:rPr>
          <w:color w:val="000000"/>
        </w:rPr>
        <w:t>”</w:t>
      </w:r>
      <w:r>
        <w:rPr>
          <w:rFonts w:ascii="Times New Roman;serif" w:hAnsi="Times New Roman;serif"/>
          <w:b w:val="false"/>
          <w:color w:val="000000"/>
          <w:sz w:val="24"/>
        </w:rPr>
        <w:t>), w ramach Planu Nabycia Akcji Pracowniczych z 2012 r., z późniejszymi zmianami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xml:space="preserve">), po obniżonej cenie nabycia poprzez dokonywanie wpłat w formie potrąceń z wynagrodzenia. Niniejszy dokument informacyjny zawiera informacje na temat liczby i charakteru papierów wartościowych oraz przyczyn i szczegółów dotyczących oferty i przydziału. Z tego względu, niniejszy dokument informacyjny zawiera opis Emitenta, Planu, przyznania praw nabycia w ramach Planu i Akcji, które mają zostać nabyte. </w:t>
      </w:r>
    </w:p>
    <w:p>
      <w:pPr>
        <w:pStyle w:val="TextBody"/>
        <w:bidi w:val="0"/>
        <w:spacing w:before="0" w:after="0"/>
        <w:jc w:val="left"/>
        <w:rPr/>
      </w:pPr>
      <w:r>
        <w:rPr/>
      </w:r>
    </w:p>
    <w:tbl>
      <w:tblPr>
        <w:tblW w:w="6014" w:type="dxa"/>
        <w:jc w:val="left"/>
        <w:tblInd w:w="0" w:type="dxa"/>
        <w:tblLayout w:type="fixed"/>
        <w:tblCellMar>
          <w:top w:w="28" w:type="dxa"/>
          <w:left w:w="28" w:type="dxa"/>
          <w:bottom w:w="28" w:type="dxa"/>
          <w:right w:w="28" w:type="dxa"/>
        </w:tblCellMar>
      </w:tblPr>
      <w:tblGrid>
        <w:gridCol w:w="1924"/>
        <w:gridCol w:w="1692"/>
        <w:gridCol w:w="2398"/>
      </w:tblGrid>
      <w:tr>
        <w:trPr/>
        <w:tc>
          <w:tcPr>
            <w:tcW w:w="192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Zwolnienie na podstawie Rozporządzenia Prospektowego</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W zakresie, w jakim oferty akcji w ramach Planu są ofertami publicznymi papierów wartościowych w UE/EOG i Wielkiej Brytanii, Emitent może powoływać się na zwolnienie z obowiązku publikacji prospektu spełniające wymogi określone odpowiednio w Rozporządzeniu (UE) 2017/1129 Parlamentu Europejskiego i Rady z dnia 14 czerwca 2017 r. („</w:t>
      </w:r>
      <w:r>
        <w:rPr>
          <w:rFonts w:ascii="Times New Roman;serif" w:hAnsi="Times New Roman;serif"/>
          <w:b/>
          <w:color w:val="000000"/>
          <w:sz w:val="24"/>
        </w:rPr>
        <w:t>Rozporządzenie Prospektowe</w:t>
      </w:r>
      <w:r>
        <w:rPr>
          <w:color w:val="000000"/>
        </w:rPr>
        <w:t>”</w:t>
      </w:r>
      <w:r>
        <w:rPr>
          <w:rFonts w:ascii="Times New Roman;serif" w:hAnsi="Times New Roman;serif"/>
          <w:b w:val="false"/>
          <w:color w:val="000000"/>
          <w:sz w:val="24"/>
        </w:rPr>
        <w:t xml:space="preserve">) oraz brytyjskich zasadach dotyczących Rozporządzenia Prospektowego (ang. </w:t>
      </w:r>
      <w:r>
        <w:rPr>
          <w:rFonts w:ascii="Times New Roman;serif" w:hAnsi="Times New Roman;serif"/>
          <w:b w:val="false"/>
          <w:i/>
          <w:color w:val="000000"/>
          <w:sz w:val="24"/>
        </w:rPr>
        <w:t>the United Kingdom Prospectus Regulation Rule</w:t>
      </w:r>
      <w:r>
        <w:rPr>
          <w:rFonts w:ascii="Times New Roman;serif" w:hAnsi="Times New Roman;serif"/>
          <w:b w:val="false"/>
          <w:color w:val="000000"/>
          <w:sz w:val="24"/>
        </w:rPr>
        <w:t>s, dalej „</w:t>
      </w:r>
      <w:r>
        <w:rPr>
          <w:rFonts w:ascii="Times New Roman;serif" w:hAnsi="Times New Roman;serif"/>
          <w:b/>
          <w:color w:val="000000"/>
          <w:sz w:val="24"/>
        </w:rPr>
        <w:t>PRR</w:t>
      </w:r>
      <w:r>
        <w:rPr>
          <w:color w:val="000000"/>
        </w:rPr>
        <w:t>”</w:t>
      </w:r>
      <w:r>
        <w:rPr>
          <w:rFonts w:ascii="Times New Roman;serif" w:hAnsi="Times New Roman;serif"/>
          <w:b w:val="false"/>
          <w:color w:val="000000"/>
          <w:sz w:val="24"/>
        </w:rPr>
        <w:t>). Zgodnie z art. 1 ust. 4 lit. i) Rozporządzenia Prospektowego oraz zasadą 1.2.3(4)(i) PRR, emitenci są zwolnieni z obowiązku publikacji prospektu, jeżeli papiery wartościowe są oferowane obecnym lub byłym dyrektorom lub pracownikom przez ich pracodawcę lub przez przedsiębiorstwo powiązane, pod warunkiem że niniejszy dokument zostanie udostępniony uprawnionym pracownikom („</w:t>
      </w:r>
      <w:r>
        <w:rPr>
          <w:rFonts w:ascii="Times New Roman;serif" w:hAnsi="Times New Roman;serif"/>
          <w:b/>
          <w:color w:val="000000"/>
          <w:sz w:val="24"/>
        </w:rPr>
        <w:t>Zwolnienie</w:t>
      </w:r>
      <w:r>
        <w:rPr>
          <w:color w:val="000000"/>
        </w:rPr>
        <w:t>”</w:t>
      </w:r>
      <w:r>
        <w:rPr>
          <w:rFonts w:ascii="Times New Roman;serif" w:hAnsi="Times New Roman;serif"/>
          <w:b w:val="false"/>
          <w:color w:val="000000"/>
          <w:sz w:val="24"/>
        </w:rPr>
        <w:t xml:space="preserve">). Zwolnienie zostało włączone do prawa krajowego Wielkiej Brytanii na podstawie zasady 1.2.3 PRR zawartej w wytycznych Urzędu Nadzoru Finansowego Wielkiej Brytanii (ang. </w:t>
      </w:r>
      <w:r>
        <w:rPr>
          <w:rFonts w:ascii="Times New Roman;serif" w:hAnsi="Times New Roman;serif"/>
          <w:b w:val="false"/>
          <w:i/>
          <w:color w:val="000000"/>
          <w:sz w:val="24"/>
        </w:rPr>
        <w:t>Financial Conduct Authority’s Handbook</w:t>
      </w:r>
      <w:r>
        <w:rPr>
          <w:rFonts w:ascii="Times New Roman;serif" w:hAnsi="Times New Roman;serif"/>
          <w:b w:val="false"/>
          <w:color w:val="000000"/>
          <w:sz w:val="24"/>
        </w:rPr>
        <w:t>). W związku z powyższym, w oparciu o Zwolnienie, w przypadku ofert w ramach Planu przeprowadzonych po udostępnieniu niniejszego dokumentu informacyjnego uprawnionym pracownikom, Emitent nie sporządził ani nie złożył prospektu w żadnym właściwym organie regulacyjnym w UE/EOG lub Wielkiej Brytanii w związku ofertami przeprowadzanymi w ramach Planu i żaden taki prospekt nie został zatwierdzony i/lub opublikowany w UE/EOG lub Wielkiej Brytanii.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Niniejszy dokument nie stanowi prospektu. Dokument ten zawiera natomiast informacje, które Spółka musi udostępnić pracownikom w UE/EOG i Wielkiej Brytanii, aby spełnić warunki skorzystania ze Zwolnienia.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Niniejszy dokument informacyjny został sporządzony i udostępniony w dniu 1 sierpień 2025 r. i będzie ważny do dnia 2 marca 2026 r.</w:t>
      </w:r>
    </w:p>
    <w:p>
      <w:pPr>
        <w:pStyle w:val="TextBody"/>
        <w:bidi w:val="0"/>
        <w:spacing w:before="0" w:after="0"/>
        <w:jc w:val="left"/>
        <w:rPr/>
      </w:pPr>
      <w:r>
        <w:rPr/>
      </w:r>
    </w:p>
    <w:p>
      <w:pPr>
        <w:pStyle w:val="TextBody"/>
        <w:bidi w:val="0"/>
        <w:spacing w:before="0" w:after="0"/>
        <w:jc w:val="left"/>
        <w:rPr/>
      </w:pPr>
      <w:r>
        <w:rPr/>
      </w:r>
    </w:p>
    <w:tbl>
      <w:tblPr>
        <w:tblW w:w="2535" w:type="dxa"/>
        <w:jc w:val="left"/>
        <w:tblInd w:w="0" w:type="dxa"/>
        <w:tblLayout w:type="fixed"/>
        <w:tblCellMar>
          <w:top w:w="28" w:type="dxa"/>
          <w:left w:w="28" w:type="dxa"/>
          <w:bottom w:w="28" w:type="dxa"/>
          <w:right w:w="28" w:type="dxa"/>
        </w:tblCellMar>
      </w:tblPr>
      <w:tblGrid>
        <w:gridCol w:w="811"/>
        <w:gridCol w:w="713"/>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Informacje o Emitencie</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Emitentem jest Palo Alto Networks, Inc., amerykańska spółka publiczna, której Akcje są notowane na giełdzie papierów wartościowych Nasdaq („</w:t>
      </w:r>
      <w:r>
        <w:rPr>
          <w:rFonts w:ascii="Times New Roman;serif" w:hAnsi="Times New Roman;serif"/>
          <w:b/>
          <w:color w:val="000000"/>
          <w:sz w:val="24"/>
        </w:rPr>
        <w:t>Nasdaq</w:t>
      </w:r>
      <w:r>
        <w:rPr>
          <w:color w:val="000000"/>
        </w:rPr>
        <w:t>”</w:t>
      </w:r>
      <w:r>
        <w:rPr>
          <w:rFonts w:ascii="Times New Roman;serif" w:hAnsi="Times New Roman;serif"/>
          <w:b w:val="false"/>
          <w:color w:val="000000"/>
          <w:sz w:val="24"/>
        </w:rPr>
        <w:t>) pod symbolem „PANW.” Międzynarodowy numer identyfikacyjny papierów wartościowych („</w:t>
      </w:r>
      <w:r>
        <w:rPr>
          <w:rFonts w:ascii="Times New Roman;serif" w:hAnsi="Times New Roman;serif"/>
          <w:b/>
          <w:color w:val="000000"/>
          <w:sz w:val="24"/>
        </w:rPr>
        <w:t>ISIN</w:t>
      </w:r>
      <w:r>
        <w:rPr>
          <w:color w:val="000000"/>
        </w:rPr>
        <w:t>”</w:t>
      </w:r>
      <w:r>
        <w:rPr>
          <w:rFonts w:ascii="Times New Roman;serif" w:hAnsi="Times New Roman;serif"/>
          <w:b w:val="false"/>
          <w:color w:val="000000"/>
          <w:sz w:val="24"/>
        </w:rPr>
        <w:t xml:space="preserve">) Akcji to </w:t>
      </w:r>
      <w:r>
        <w:rPr>
          <w:rFonts w:ascii="Times New Roman;serif" w:hAnsi="Times New Roman;serif"/>
          <w:b w:val="false"/>
          <w:color w:val="000000"/>
          <w:sz w:val="24"/>
          <w:shd w:fill="FFFFFF" w:val="clear"/>
        </w:rPr>
        <w:t>US6974351057</w:t>
      </w:r>
      <w:r>
        <w:rPr>
          <w:rFonts w:ascii="Times New Roman;serif" w:hAnsi="Times New Roman;serif"/>
          <w:b w:val="false"/>
          <w:color w:val="000000"/>
          <w:sz w:val="24"/>
        </w:rPr>
        <w:t>. Amerykański numer identyfikacyjny („</w:t>
      </w:r>
      <w:r>
        <w:rPr>
          <w:rFonts w:ascii="Times New Roman;serif" w:hAnsi="Times New Roman;serif"/>
          <w:b/>
          <w:color w:val="000000"/>
          <w:sz w:val="24"/>
        </w:rPr>
        <w:t>Numer CUSIP</w:t>
      </w:r>
      <w:r>
        <w:rPr>
          <w:color w:val="000000"/>
        </w:rPr>
        <w:t>”</w:t>
      </w:r>
      <w:r>
        <w:rPr>
          <w:rFonts w:ascii="Times New Roman;serif" w:hAnsi="Times New Roman;serif"/>
          <w:b w:val="false"/>
          <w:color w:val="000000"/>
          <w:sz w:val="24"/>
        </w:rPr>
        <w:t xml:space="preserve">) Akcji to </w:t>
      </w:r>
      <w:r>
        <w:rPr>
          <w:rFonts w:ascii="Times New Roman;serif" w:hAnsi="Times New Roman;serif"/>
          <w:b w:val="false"/>
          <w:color w:val="000000"/>
          <w:sz w:val="24"/>
          <w:shd w:fill="FFFFFF" w:val="clear"/>
        </w:rPr>
        <w:t>697435105</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Adres Emitenta to 3000 Tannery Way, Santa Clara, Kalifornia 95054, Stany Zjednoczone Ameryki.</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4"/>
        </w:rPr>
        <w:t xml:space="preserve">Dodatkowe informacje o Emitencie, a także aktualny kurs Akcji oraz łączną liczbę Akcji, które zostały wyemitowane i pozostają w obrocie, można znaleźć na stronie internetowej Emitenta pod adresem https://investors.paloaltonetworks.com. Zgłoszenia złożone przez Spółkę w Amerykańskiej Komisji Papierów Wartościowych i Giełd (ang. </w:t>
      </w:r>
      <w:r>
        <w:rPr>
          <w:rFonts w:ascii="Times New Roman;serif" w:hAnsi="Times New Roman;serif"/>
          <w:b w:val="false"/>
          <w:i/>
          <w:color w:val="000000"/>
          <w:sz w:val="24"/>
        </w:rPr>
        <w:t>United States Securities and Exchange Commission</w:t>
      </w:r>
      <w:r>
        <w:rPr>
          <w:rFonts w:ascii="Times New Roman;serif" w:hAnsi="Times New Roman;serif"/>
          <w:b w:val="false"/>
          <w:color w:val="000000"/>
          <w:sz w:val="24"/>
        </w:rPr>
        <w:t>, „</w:t>
      </w:r>
      <w:r>
        <w:rPr>
          <w:rFonts w:ascii="Times New Roman;serif" w:hAnsi="Times New Roman;serif"/>
          <w:b/>
          <w:color w:val="000000"/>
          <w:sz w:val="24"/>
        </w:rPr>
        <w:t>SEC</w:t>
      </w:r>
      <w:r>
        <w:rPr>
          <w:color w:val="000000"/>
        </w:rPr>
        <w:t>”</w:t>
      </w:r>
      <w:r>
        <w:rPr>
          <w:rFonts w:ascii="Times New Roman;serif" w:hAnsi="Times New Roman;serif"/>
          <w:b w:val="false"/>
          <w:color w:val="000000"/>
          <w:sz w:val="24"/>
        </w:rPr>
        <w:t>) są dostępne na stronie internetowej www.sec.gov. Dostęp do wspomnianych zgłoszeń można uzyskać również za pośrednictwem sekcji Relacje Inwestorskie na stronie internetowej Spółki, lub występując o udostępnienie kopii zgłoszeń, kontaktując się z Działem Relacji Inwestorskich Spółki pod adresem:</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Palo Alto Networks, Inc.</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3000 Tannery Way, Santa Clara, Kalifornia 95054, Stany Zjednoczone Ameryki</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https://investors.paloaltonetworks.com</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(408) 753-4000</w:t>
      </w:r>
    </w:p>
    <w:p>
      <w:pPr>
        <w:pStyle w:val="TextBody"/>
        <w:bidi w:val="0"/>
        <w:spacing w:before="0" w:after="0"/>
        <w:jc w:val="left"/>
        <w:rPr/>
      </w:pPr>
      <w:r>
        <w:rPr/>
      </w:r>
    </w:p>
    <w:p>
      <w:pPr>
        <w:pStyle w:val="TextBody"/>
        <w:bidi w:val="0"/>
        <w:spacing w:before="0" w:after="0"/>
        <w:jc w:val="center"/>
        <w:rPr/>
      </w:pPr>
      <w:r>
        <w:rPr/>
      </w:r>
    </w:p>
    <w:tbl>
      <w:tblPr>
        <w:tblW w:w="1950" w:type="dxa"/>
        <w:jc w:val="left"/>
        <w:tblInd w:w="0" w:type="dxa"/>
        <w:tblLayout w:type="fixed"/>
        <w:tblCellMar>
          <w:top w:w="28" w:type="dxa"/>
          <w:left w:w="28" w:type="dxa"/>
          <w:bottom w:w="28" w:type="dxa"/>
          <w:right w:w="28" w:type="dxa"/>
        </w:tblCellMar>
      </w:tblPr>
      <w:tblGrid>
        <w:gridCol w:w="624"/>
        <w:gridCol w:w="548"/>
        <w:gridCol w:w="778"/>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Przyczyny Oferty</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Celem Planu jest zapewnienie uprawnionym pracownikom Spółki i jej podmiotów zależnych lub powiązanych, które zostały wyznaczone przez Administratora (zgodnie z definicją poniżej) jako podmioty uprawnione do uczestnictwa w Planie („</w:t>
      </w:r>
      <w:r>
        <w:rPr>
          <w:rFonts w:ascii="Times New Roman;serif" w:hAnsi="Times New Roman;serif"/>
          <w:b/>
          <w:color w:val="000000"/>
          <w:sz w:val="24"/>
        </w:rPr>
        <w:t>Spółki Wyznaczone</w:t>
      </w:r>
      <w:r>
        <w:rPr>
          <w:color w:val="000000"/>
        </w:rPr>
        <w:t>”</w:t>
      </w:r>
      <w:r>
        <w:rPr>
          <w:rFonts w:ascii="Times New Roman;serif" w:hAnsi="Times New Roman;serif"/>
          <w:b w:val="false"/>
          <w:color w:val="000000"/>
          <w:sz w:val="24"/>
        </w:rPr>
        <w:t xml:space="preserve">) możliwości nabycia Akcji poprzez skumulowane potrącenia z wynagrodzenia. Spółka zamierza, aby Plan składał się z dwóch modułów: modułu kwalifikującego się jako „plan nabycia akcji pracowniczych” w rozumieniu art. 423 amerykańskiego Kodeksu Podatkowego z 1986 r. (ang. </w:t>
      </w:r>
      <w:r>
        <w:rPr>
          <w:rFonts w:ascii="Times New Roman;serif" w:hAnsi="Times New Roman;serif"/>
          <w:b w:val="false"/>
          <w:i/>
          <w:color w:val="000000"/>
          <w:sz w:val="24"/>
        </w:rPr>
        <w:t>U.S. Internal Revenue Code of 1986</w:t>
      </w:r>
      <w:r>
        <w:rPr>
          <w:rFonts w:ascii="Times New Roman;serif" w:hAnsi="Times New Roman;serif"/>
          <w:b w:val="false"/>
          <w:color w:val="000000"/>
          <w:sz w:val="24"/>
        </w:rPr>
        <w:t>) („</w:t>
      </w:r>
      <w:r>
        <w:rPr>
          <w:rFonts w:ascii="Times New Roman;serif" w:hAnsi="Times New Roman;serif"/>
          <w:b/>
          <w:color w:val="000000"/>
          <w:sz w:val="24"/>
        </w:rPr>
        <w:t>Moduł 423</w:t>
      </w:r>
      <w:r>
        <w:rPr>
          <w:color w:val="000000"/>
        </w:rPr>
        <w:t>”</w:t>
      </w:r>
      <w:r>
        <w:rPr>
          <w:rFonts w:ascii="Times New Roman;serif" w:hAnsi="Times New Roman;serif"/>
          <w:b w:val="false"/>
          <w:color w:val="000000"/>
          <w:sz w:val="24"/>
        </w:rPr>
        <w:t>) oraz modułu, który nie kwalifikuje się jako Moduł 423 („</w:t>
      </w:r>
      <w:r>
        <w:rPr>
          <w:rFonts w:ascii="Times New Roman;serif" w:hAnsi="Times New Roman;serif"/>
          <w:b/>
          <w:color w:val="000000"/>
          <w:sz w:val="24"/>
        </w:rPr>
        <w:t>Moduł Non-423</w:t>
      </w:r>
      <w:r>
        <w:rPr>
          <w:color w:val="000000"/>
        </w:rPr>
        <w:t>”</w:t>
      </w:r>
      <w:r>
        <w:rPr>
          <w:rFonts w:ascii="Times New Roman;serif" w:hAnsi="Times New Roman;serif"/>
          <w:b w:val="false"/>
          <w:color w:val="000000"/>
          <w:sz w:val="24"/>
        </w:rPr>
        <w:t>).</w:t>
      </w:r>
    </w:p>
    <w:p>
      <w:pPr>
        <w:pStyle w:val="TextBody"/>
        <w:bidi w:val="0"/>
        <w:spacing w:before="0" w:after="0"/>
        <w:jc w:val="left"/>
        <w:rPr/>
      </w:pPr>
      <w:r>
        <w:rPr/>
      </w:r>
    </w:p>
    <w:tbl>
      <w:tblPr>
        <w:tblW w:w="1860" w:type="dxa"/>
        <w:jc w:val="center"/>
        <w:tblInd w:w="0" w:type="dxa"/>
        <w:tblLayout w:type="fixed"/>
        <w:tblCellMar>
          <w:top w:w="28" w:type="dxa"/>
          <w:left w:w="28" w:type="dxa"/>
          <w:bottom w:w="28" w:type="dxa"/>
          <w:right w:w="28" w:type="dxa"/>
        </w:tblCellMar>
      </w:tblPr>
      <w:tblGrid>
        <w:gridCol w:w="595"/>
        <w:gridCol w:w="523"/>
        <w:gridCol w:w="742"/>
      </w:tblGrid>
      <w:tr>
        <w:trPr/>
        <w:tc>
          <w:tcPr>
            <w:tcW w:w="59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Szczegóły Oferty</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Administracja</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Plan jest oferowany na zasadzie pełnej uznaniowości. Planem zarządza Rada Dyrektorów Spółki („</w:t>
      </w:r>
      <w:r>
        <w:rPr>
          <w:rFonts w:ascii="Times New Roman;serif" w:hAnsi="Times New Roman;serif"/>
          <w:b/>
          <w:color w:val="000000"/>
          <w:sz w:val="24"/>
        </w:rPr>
        <w:t>Rada</w:t>
      </w:r>
      <w:r>
        <w:rPr>
          <w:color w:val="000000"/>
        </w:rPr>
        <w:t>”</w:t>
      </w:r>
      <w:r>
        <w:rPr>
          <w:rFonts w:ascii="Times New Roman;serif" w:hAnsi="Times New Roman;serif"/>
          <w:b w:val="false"/>
          <w:color w:val="000000"/>
          <w:sz w:val="24"/>
        </w:rPr>
        <w:t>), lub komisja wyznaczona przez Radę ( „</w:t>
      </w:r>
      <w:r>
        <w:rPr>
          <w:rFonts w:ascii="Times New Roman;serif" w:hAnsi="Times New Roman;serif"/>
          <w:b/>
          <w:color w:val="000000"/>
          <w:sz w:val="24"/>
        </w:rPr>
        <w:t>Administrator</w:t>
      </w:r>
      <w:r>
        <w:rPr>
          <w:color w:val="000000"/>
        </w:rPr>
        <w:t>”</w:t>
      </w:r>
      <w:r>
        <w:rPr>
          <w:rFonts w:ascii="Times New Roman;serif" w:hAnsi="Times New Roman;serif"/>
          <w:b w:val="false"/>
          <w:color w:val="000000"/>
          <w:sz w:val="24"/>
        </w:rPr>
        <w:t xml:space="preserve">). Administrator ma pełną i wyłączną swobodę w zakresie interpretacji, wykładni i stosowania postanowień Planu, do wyznaczania poszczególnych ofert w ramach Planu, do wyznaczania podmiotów zależnych i powiązanych Spółki jako uczestniczących w Module 423 lub Module Non-423, do określania kwalifikowalności do Planu, do rozstrzygania wszelkich spornych roszczeń zgłoszonych w ramach Planu oraz do ustanawiania takich procedur, które uzna za niezbędne do zarządzania Planem.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Kwalifikacja do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Co do zasady, do uczestnictwa w Planie uprawnione są wszystkie osoby, które w rozumieniu powszechnie obowiązujących przepisów prawa są pracownikami Spółki lub Spółki Wyznaczonej i są zwyczajowo zatrudnione w wymiarze co najmniej dwudziestu godzin tygodniowo oraz przez okres dłuższy niż pięć miesięcy w dowolnym roku kalendarzowym. Administrator może jednak określić (z zastrzeżeniem warunków Planu), że określone osoby będą lub nie będą uprawnione do udziału w Planie, jeśli nie przepracowały co najmniej dwóch lat od daty ostatniego zatrudnienia (lub krótszego okresu, który może zostać określony przez Administratora według jego uznania) lub zwyczajowo pracują w wymiarze nie większym niż dwadzieścia godzin tygodniowo lub przez okres krótszy niż pięć miesięcy w danym roku kalendarzowym (lub w wymiarze/okresie krótszym, który może zostać określony przez Administratora według jego uznania) zgodnie z wymogami obowiązującego prawa lokalnego.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Ramy Czasowe Oferty i Zapisów</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Każdy „</w:t>
      </w:r>
      <w:r>
        <w:rPr>
          <w:rFonts w:ascii="Times New Roman;serif" w:hAnsi="Times New Roman;serif"/>
          <w:b/>
          <w:color w:val="000000"/>
          <w:sz w:val="24"/>
        </w:rPr>
        <w:t>Okres Ofertowy</w:t>
      </w:r>
      <w:r>
        <w:rPr>
          <w:color w:val="000000"/>
        </w:rPr>
        <w:t xml:space="preserve">” </w:t>
      </w:r>
      <w:r>
        <w:rPr>
          <w:rFonts w:ascii="Times New Roman;serif" w:hAnsi="Times New Roman;serif"/>
          <w:b w:val="false"/>
          <w:color w:val="000000"/>
          <w:sz w:val="24"/>
        </w:rPr>
        <w:t>w ramach Planu trwa około dwudziestu-czterech miesięcy i rozpoczyna się pierwszego dnia obrotu przypadającego 28 lutego oraz 31 sierpnia lub po tych dniach każdego roku, a kończy się pierwszego dnia obrotu przypadającego 28 lutego oraz 31 sierpnia lub po tych dniach, około dwudziestu-czterech miesięcy później. Każdy Okres Ofertowy składa się z czterech sześciomiesięcznych „</w:t>
      </w:r>
      <w:r>
        <w:rPr>
          <w:rFonts w:ascii="Times New Roman;serif" w:hAnsi="Times New Roman;serif"/>
          <w:b/>
          <w:color w:val="000000"/>
          <w:sz w:val="24"/>
        </w:rPr>
        <w:t>Okresów Nabycia</w:t>
      </w:r>
      <w:r>
        <w:rPr>
          <w:color w:val="000000"/>
        </w:rPr>
        <w:t>”</w:t>
      </w:r>
      <w:r>
        <w:rPr>
          <w:rFonts w:ascii="Times New Roman;serif" w:hAnsi="Times New Roman;serif"/>
          <w:b w:val="false"/>
          <w:color w:val="000000"/>
          <w:sz w:val="24"/>
        </w:rPr>
        <w:t xml:space="preserve">, podczas których potrącenia z wynagrodzenia lub inne składki są gromadzone w ramach Planu.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Jeśli pracownik jest uprawniony do uczestnictwa w Planie, może zostać uczestnikiem poprzez złożenie w dziale zarządzania akcjami Spółki (lub wyznaczonej przez ten dział jednostce), w dniu lub przed dniem określonym przez Administratora przed datą rozpoczęcia zapisów w danym Okresie Ofertowym, prawidłowo wypełnionej umowy subskrypcji upoważniającej do pobierania Składek (zgodnie z definicją poniżej) w formie określonej przez Administratora lub zgodnie z procedurą elektroniczną lub inną procedurą rejestracji określoną przez Administratora.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Po uzyskaniu statusu uczestnika Planu, uprawniony pracownik będzie automatycznie uczestniczył w każdym kolejnym Okresie Ofertowym, chyba że wycofa się z Planu lub przestanie być uprawnionym pracownikiem. Nie jest wymagane wypełnienie żadnej dodatkowej umowy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subskrypcji, formularza ani procedury w celu kontynuowania uczestnictwa w Planie, chyba że Administrator zażąda tego ze względów prawnych lub administracyjnych.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Minimalna i maksymalna kwota Składek</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Uczestnik może wpłacać składki (w formie potrąceń z wynagrodzenia lub w inny sposób, w zakresie dozwolonym przez Administratora) („</w:t>
      </w:r>
      <w:r>
        <w:rPr>
          <w:rFonts w:ascii="Times New Roman;serif" w:hAnsi="Times New Roman;serif"/>
          <w:b/>
          <w:color w:val="000000"/>
          <w:sz w:val="24"/>
        </w:rPr>
        <w:t>Składki</w:t>
      </w:r>
      <w:r>
        <w:rPr>
          <w:color w:val="000000"/>
        </w:rPr>
        <w:t>”</w:t>
      </w:r>
      <w:r>
        <w:rPr>
          <w:rFonts w:ascii="Times New Roman;serif" w:hAnsi="Times New Roman;serif"/>
          <w:b w:val="false"/>
          <w:color w:val="000000"/>
          <w:sz w:val="24"/>
        </w:rPr>
        <w:t>) w kwocie nieprzekraczającej piętnastu procent (15%) kwalifikującego się Wynagrodzenia (zgodnie z definicją poniżej) na zakup Akcji w ramach Planu, z zastrzeżeniem warunków Planu. Potrącenia z wynagrodzenia rozpoczną się w pierwszym dniu wypłaty wynagrodzenia następującym po pierwszym dniu obrotu w danym Okresie Ofertowym i będą kontynuowane do pierwszego dnia obrotu przypadającego 28 lutego i 31 sierpnia lub po tych dniach dla każdego Okresu Nabycia („</w:t>
      </w:r>
      <w:r>
        <w:rPr>
          <w:rFonts w:ascii="Times New Roman;serif" w:hAnsi="Times New Roman;serif"/>
          <w:b/>
          <w:color w:val="000000"/>
          <w:sz w:val="24"/>
        </w:rPr>
        <w:t>Dzień Wykonania</w:t>
      </w:r>
      <w:r>
        <w:rPr>
          <w:color w:val="000000"/>
        </w:rPr>
        <w:t>”</w:t>
      </w:r>
      <w:r>
        <w:rPr>
          <w:rFonts w:ascii="Times New Roman;serif" w:hAnsi="Times New Roman;serif"/>
          <w:b w:val="false"/>
          <w:color w:val="000000"/>
          <w:sz w:val="24"/>
        </w:rPr>
        <w:t>), chyba że zostaną wcześniej zmienione lub zakończone zgodnie z postanowieniami Planu. Wpłaty mogą być dokonywane wyłącznie w pełnych procentach.</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Dla celów Planu, „</w:t>
      </w:r>
      <w:r>
        <w:rPr>
          <w:rFonts w:ascii="Times New Roman;serif" w:hAnsi="Times New Roman;serif"/>
          <w:b/>
          <w:color w:val="000000"/>
          <w:sz w:val="24"/>
        </w:rPr>
        <w:t>Wynagrodzenie</w:t>
      </w:r>
      <w:r>
        <w:rPr>
          <w:color w:val="000000"/>
        </w:rPr>
        <w:t xml:space="preserve">” </w:t>
      </w:r>
      <w:r>
        <w:rPr>
          <w:rFonts w:ascii="Times New Roman;serif" w:hAnsi="Times New Roman;serif"/>
          <w:b w:val="false"/>
          <w:color w:val="000000"/>
          <w:sz w:val="24"/>
        </w:rPr>
        <w:t>obejmuje podstawowe zarobki brutto w pełnym wymiarze czasu pracy, płatności za nadgodziny i dodatek zmianowy, ale nie obejmuje płatności z tytułu prowizji, dodatków motywacyjnych, premii i innych podobnych świadczeń. Administrator, według własnego uznania może, na jednolitych i niedyskryminujących zasadach, ustanowić inną definicję Wynagrodzenia dla kolejnego Okresu Ofertowego.</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O ile Administrator nie postanowi inaczej, podczas Okresu Nabycia uczestnik nie może zwiększyć wysokości swoich Składek, a zmniejszyć wysokość swoich Składek może tylko jeden raz w danym Okresie Nabycia. Każde takie zmniejszenie w Okresie Nabycia wymaga prawidłowego wypełnienia i złożenia w dziale zarządzania akcjami Spółki (lub innej jednostce wyznaczonej przez Spółkę), w dniu lub przed dniem określonym przez Administratora przed odpowiednim Dniem Wykonania, nowej umowy subskrypcji upoważniającej do zmiany wysokości Składki lub postępowania zgodnie z procedurą elektroniczną lub inną procedurą określoną przez Administratora.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Szczegóły dotyczące ceny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Cena nabycia wynosi osiemdziesiąt pięć procent (85%) (i) godziwej wartości rynkowej Akcji w pierwszym dniu obrotu w danym Okresie Ofertowym lub (ii) godziwej wartości rynkowej Akcji w odpowiednim Dniu Wykonania, w zależności od tego, która z tych wartości jest niższa. Godziwa wartość rynkowa to zazwyczaj cena zamknięcia Akcji na Nasdaq w Dniu Wykonania.</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Charakter Oferty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każdym Dniu Wykonania, tak długo jak Plan pozostaje w mocy i pod warunkiem, że uczestnik nie wycofał się z Okresu Ofertowego zgodnie z wymogami Planu, Spółka wykorzysta środki znajdujące się w tym dniu na rachunku uczestnika na zakup pełnych Akcji. Wszelkie Składki zgromadzone na rachunku uczestnika, które nie są wystarczające do zakupu pełnej Akcji, zostaną niezwłocznie zwrócone uczestnikowi po Dniu Wykonania.</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Liczba i charakter oferowanych papierów wartościowych</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Maksymalna liczba Akcji początkowo przeznaczonych do emisji w ramach Planu wynosiła 1.000.000 Akcji. Liczba Akcji dostępnych do emisji w ramach Planu jest jednak corocznie zwiększana zgodnie z warunkami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Przekazanie Akcji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Tak szybko, jak to możliwe po każdym Dniu Wykonania, Spółka zorganizuje przekazanie każdemu uczestnikowi Akcji nabytych w wyniku wykonania jego prawa nabycia w formie określonej przez Administratora (według jego własnego uznania) i zgodnie z zasadami ustanowionymi przez Administratora. Spółka może zezwolić lub zażądać, aby Akcje zostały zdeponowane bezpośrednio u pośrednika (brokera) wyznaczonego przez Spółkę lub u wyznaczonego agenta Spółki. Spółka może przy tym wykorzystać elektroniczne lub zautomatyzowane metody przenoszenia akcji. Spółka może również wymagać, aby Akcje były przechowywane u takiego pośrednika lub agenta przez określony czas i/lub może ustanowić inne procedury umożliwiające monitorowanie rozporządzania takimi Akcjami.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Prowizja</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Spółka wybrała pośrednika (brokera) odpowiedzialnego za obsługę emisji Akcji w ramach Planu (obecnie jest to E*TRADE Corporate Financial Services, Inc.) („</w:t>
      </w:r>
      <w:r>
        <w:rPr>
          <w:rFonts w:ascii="Times New Roman;serif" w:hAnsi="Times New Roman;serif"/>
          <w:b/>
          <w:color w:val="000000"/>
          <w:sz w:val="24"/>
        </w:rPr>
        <w:t>Broker</w:t>
      </w:r>
      <w:r>
        <w:rPr>
          <w:color w:val="000000"/>
        </w:rPr>
        <w:t>”</w:t>
      </w:r>
      <w:r>
        <w:rPr>
          <w:rFonts w:ascii="Times New Roman;serif" w:hAnsi="Times New Roman;serif"/>
          <w:b w:val="false"/>
          <w:color w:val="000000"/>
          <w:sz w:val="24"/>
        </w:rPr>
        <w:t>). W momencie zapisania się do Planu uczestnik został lub zostanie poproszony o otwarcie rachunku u Brokera. Uczestnik nie będzie musiał uiszczać opłaty za otwarcie rachunku u Brokera w celu zarządzania rachunkiem lub nabycia Akcji. Uczestnik ponosi natomiast odpowiedzialność za wszelkie prowizje i opłaty związane ze sprzedażą lub przeniesieniem Akcji z rachunku prowadzonego przez Brokera. Ponadto SEC stosuje opłatę do większości transakcji na papierach wartościowych według stawki określonej przez SEC. Takie prowizje i opłaty mogą ulec zmianie w dowolnym momencie.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Zakończenie Uczestnictwa w Planie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Uczestnik może wycofać się z Planu na co najmniej jeden (1) dzień roboczy przed Dniem Wykonania poprzez złożenie w dziale zarządzania Akcjami Spółki (lub wyznaczonej przez ten dział jednostce) pisemnego zawiadomienia o wycofaniu się w formie określonej w tym celu przez Administratora lub zgodnie z procedurą elektroniczną lub inną procedurą wycofania się określoną przez Administratora. Po wycofaniu się z Planu, wszystkie skumulowane potrącenia z wynagrodzenia zostaną zwrócone uczestnikowi, bez odsetek (chyba że obowiązujące przepisy prawa stanowią inaczej), niezwłocznie po otrzymaniu zawiadomienia o wycofaniu się, a prawo do nabycia w Okresie Ofertowym zostanie automatycznie zakończone i nie będą dokonywane żadne dalsze wpłaty Składek na zakup Akcji w takim Okresie Ofertowym.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przypadku dobrowolnego wycofania się z Planu, uprawniony pracownik nie może wznowić udziału w Planie w tym samym Okresie Ofertowym. Może on jednak uczestniczyć w dowolnym Okresie Ofertowym w ramach Planu, który rozpoczyna się w dniu następującym po takim wycofaniu, wypełniając umowę subskrypcji w taki sam sposób, jak opisano w Planie w odniesieniu do rozpoczęcia uczestnictwa w Planie.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Rozwiązanie stosunku pracy</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Uczestnik zostanie uznany za osobę, która zdecydowała się wycofać się z Planu, jeśli z jakiegokolwiek powodu przestanie być uprawnionym pracownikiem. W takim wypadku Składki zaksięgowane na jego koncie w Okresie Ofertowym, które nie zostały jeszcze wykorzystane do zakupu Akcji w ramach Planu, zostaną mu zwrócone bez odsetek (chyba że obowiązujące przepisy prawa stanowią inaczej), a jego prawo do nabycia wygaśnie.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Niezbywalność praw do nabycia Akcji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Żadne Składki zapisane na rachunku uczestnika, ani żadne prawa związane z wykonaniem prawa nabycia lub otrzymaniem Akcji w ramach Planu nie mogą być w żaden sposób przeniesione, przelane, obciążone lub w jakikolwiek inny sposób być przedmiotem rozporządzenia (inaczej niż w drodze rozporządzenia na mocy testamentu lub zgodnie z prawem spadkowym i kolejnością dziedziczenia). Każda taka próba przeniesienia, przelewu, obciążenia lub innego rozporządzenia będzie bezskuteczna, z zastrzeżeniem, że Spółka może potraktować taką czynność jako decyzję o wycofaniu środków z danego Okresu Ofertowego zgodnie z Planem.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Ograniczenia dotyczące Akcji i ich zbywalności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Akcje w ramach niniejszej oferty realizowanej zgodnie z Planem są zarejestrowane na podstawie oświadczenia o rejestracji złożonego w SEC na formularzu S-8 i są zasadniczo zbywalne bez ograniczeń (z zastrzeżeniem wszelkich ograniczeń w zakresie zbywalności wynikających z obowiązujących przepisów prawa dotyczących wykorzystywania informacji poufnych i polityki Spółki w zakresie wykorzystywania informacji poufnych).</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ramach Planu Akcje oferowane są pracownikom w celach inwestycyjnych a nie z myślą o odsprzedaży. Spółka nie ogranicza jednak żadnego z uczestników ani nie wywiera na niego wpływu, jeśli chodzi o prowadzenie jego własnych spraw. Uczestnik może zatem w dowolnym, wybranym przez siebie momencie zbyć Akcje nabyte w ramach Planu, z zastrzeżeniem konieczności przestrzegania obowiązujących przepisów prawa papierów wartościowych. Uczestnik przyjmuje na siebie ryzyko związane z wahaniami cen rynkowych Akcji lub zmianami kursów walut. Ponadto zwraca się uwagę Uczestników na ogólne ryzyko związane z inwestowaniem w Akcje, opisane głównie w dziale „Czynniki ryzyka” w zgłoszeniach składanych przez Spółkę w SEC.</w:t>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Zakończenie, zawieszenie lub zmiana Planu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Administrator może, według własnego uznania, zmienić, zawiesić lub zakończyć Plan, w całości lub w części, w każdym czasie i z dowolnego powodu. W przypadku zakończenia Planu, Administrator, według własnego uznania, może podjąć decyzję o zakończeniu wszystkich trwających Okresów Ofertowych w trybie natychmiastowym lub po zakończeniu procesu nabywania Akcji w następnym Dniu Wykonania (który może nastąpić wcześniej niż pierwotnie zaplanowano, jeśli Administrator podejmie taką decyzję według własnego uznania), lub może podjąć decyzję o zezwoleniu na zakończenie Okresów Ofertowych zgodnie z ich warunkami (i z zastrzeżeniem wszelkich zmian przewidzianych w Planie).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Jeśli Okresy Ofertowe zostaną zakończone przedterminowo, wszystkie kwoty zapisane na rachunkach uczestników, które nie zostały wykorzystane do nabycia Akcji, zostaną zwrócone </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uczestnikom bez odsetek (chyba że obowiązujące przepisy prawa stanowią inaczej) tak szybko, jak będzie to możliwe z administracyjnego punktu widzenia.</w:t>
      </w:r>
    </w:p>
    <w:p>
      <w:pPr>
        <w:pStyle w:val="TextBody"/>
        <w:bidi w:val="0"/>
        <w:spacing w:before="0" w:after="0"/>
        <w:jc w:val="left"/>
        <w:rPr/>
      </w:pPr>
      <w:r>
        <w:rPr/>
      </w:r>
    </w:p>
    <w:tbl>
      <w:tblPr>
        <w:tblW w:w="5805" w:type="dxa"/>
        <w:jc w:val="center"/>
        <w:tblInd w:w="0" w:type="dxa"/>
        <w:tblLayout w:type="fixed"/>
        <w:tblCellMar>
          <w:top w:w="28" w:type="dxa"/>
          <w:left w:w="28" w:type="dxa"/>
          <w:bottom w:w="28" w:type="dxa"/>
          <w:right w:w="28" w:type="dxa"/>
        </w:tblCellMar>
      </w:tblPr>
      <w:tblGrid>
        <w:gridCol w:w="1856"/>
        <w:gridCol w:w="1633"/>
        <w:gridCol w:w="2316"/>
      </w:tblGrid>
      <w:tr>
        <w:trPr/>
        <w:tc>
          <w:tcPr>
            <w:tcW w:w="185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Informacje o Akcjach i prawach związanych z Akcjami</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Akcje nabywane w ramach Planu są akcjami zwykłymi Spółki, które umożliwią akcjonariuszowi udział w:</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Dywidendzie</w:t>
      </w:r>
      <w:r>
        <w:rPr>
          <w:color w:val="000000"/>
        </w:rPr>
        <w:t xml:space="preserve"> – </w:t>
      </w:r>
      <w:r>
        <w:rPr>
          <w:rFonts w:ascii="Times New Roman;serif" w:hAnsi="Times New Roman;serif"/>
          <w:b w:val="false"/>
          <w:color w:val="000000"/>
          <w:sz w:val="24"/>
        </w:rPr>
        <w:t xml:space="preserve">jeżeli wypłata dywidendy zostanie ogłoszona przez Spółkę i w momencie ich wypłaty ogłoszonym przez Spółkę, zgodnie z upoważnieniem zawartym w jej statucie. </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Głosowaniu</w:t>
      </w:r>
      <w:r>
        <w:rPr>
          <w:color w:val="000000"/>
        </w:rPr>
        <w:t xml:space="preserve"> – </w:t>
      </w:r>
      <w:r>
        <w:rPr>
          <w:rFonts w:ascii="Times New Roman;serif" w:hAnsi="Times New Roman;serif"/>
          <w:b w:val="false"/>
          <w:color w:val="000000"/>
          <w:sz w:val="24"/>
        </w:rPr>
        <w:t>akcjonariusz będzie miał możliwość głosowania na zgromadzeniach akcjonariuszy Spółki, na których każda z Akcji daje prawo do jednego głosu.</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Sprawozdawczości</w:t>
      </w:r>
      <w:r>
        <w:rPr>
          <w:color w:val="000000"/>
        </w:rPr>
        <w:t xml:space="preserve"> – </w:t>
      </w:r>
      <w:r>
        <w:rPr>
          <w:rFonts w:ascii="Times New Roman;serif" w:hAnsi="Times New Roman;serif"/>
          <w:b w:val="false"/>
          <w:color w:val="000000"/>
          <w:sz w:val="24"/>
        </w:rPr>
        <w:t xml:space="preserve">jako akcjonariusz, Uprawniony będzie miał prawo do otrzymywania pewnych informacji od Spółki, takich jak roczne sprawozdanie Spółki dla akcjonariuszy oraz roczne oświadczenie dotyczące pełnomocnictw (ang. </w:t>
      </w:r>
      <w:r>
        <w:rPr>
          <w:rFonts w:ascii="Times New Roman;serif" w:hAnsi="Times New Roman;serif"/>
          <w:b w:val="false"/>
          <w:i/>
          <w:color w:val="000000"/>
          <w:sz w:val="24"/>
        </w:rPr>
        <w:t>annual proxy statement</w:t>
      </w:r>
      <w:r>
        <w:rPr>
          <w:rFonts w:ascii="Times New Roman;serif" w:hAnsi="Times New Roman;serif"/>
          <w:b w:val="false"/>
          <w:color w:val="000000"/>
          <w:sz w:val="24"/>
        </w:rPr>
        <w:t>). Spółka może udostępnić takie informacje swoim akcjonariuszom w swoim biurze i/lub na swojej stronie internetowej.</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Środkach z likwidacji</w:t>
      </w:r>
      <w:r>
        <w:rPr>
          <w:color w:val="000000"/>
        </w:rPr>
        <w:t xml:space="preserve"> – </w:t>
      </w:r>
      <w:r>
        <w:rPr>
          <w:rFonts w:ascii="Times New Roman;serif" w:hAnsi="Times New Roman;serif"/>
          <w:b w:val="false"/>
          <w:color w:val="000000"/>
          <w:sz w:val="24"/>
        </w:rPr>
        <w:t>W przypadku likwidacji, rozwiązania lub zakończenia działalności przez Spółkę, posiadacze Akcji są uprawnieni do proporcjonalnego udziału we wszystkich aktywach pozostałych po spłacie lub zabezpieczeniu zobowiązań Spółki, z zastrzeżeniem praw pierwszeństwa lub akcji uprzywilejowanych, jeżeli takie występują.</w:t>
      </w:r>
    </w:p>
    <w:p>
      <w:pPr>
        <w:pStyle w:val="TextBody"/>
        <w:bidi w:val="0"/>
        <w:spacing w:lineRule="auto" w:line="268" w:before="0" w:after="0"/>
        <w:ind w:left="0" w:right="0" w:hanging="360"/>
        <w:jc w:val="both"/>
        <w:rPr/>
      </w:pPr>
      <w:r>
        <w:rPr>
          <w:color w:val="000000"/>
        </w:rPr>
        <w:t>•</w:t>
      </w:r>
      <w:r>
        <w:rPr>
          <w:rFonts w:ascii="Times New Roman;serif" w:hAnsi="Times New Roman;serif"/>
          <w:b w:val="false"/>
          <w:i/>
          <w:color w:val="000000"/>
          <w:sz w:val="24"/>
        </w:rPr>
        <w:t xml:space="preserve">Brak postanowień dotyczących pierwokupu, umorzenia lub zamiany </w:t>
      </w:r>
      <w:r>
        <w:rPr>
          <w:rFonts w:ascii="Times New Roman;serif" w:hAnsi="Times New Roman;serif"/>
          <w:b w:val="false"/>
          <w:color w:val="000000"/>
          <w:sz w:val="24"/>
        </w:rPr>
        <w:t>- Akcje nie są objęte prawem pierwokupu i nie podlegają zamianie ani umorzeniu.</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W odniesieniu do Akcji objętych prawem nabycia w ramach Planu, uczestnik nie będzie uważany za akcjonariusza posiadającego powyższe prawa do czasu nabycia Akcji i ich wydania uczestnikowi.</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Spółka może emitować inne klasy akcji i/lub papierów wartościowych, które nie są objęte niniejszą ofertą i Planem.</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 xml:space="preserve">Należy zauważyć, że Spółka może w dowolnym czasie, ale pod warunkiem uzyskania pozytywnego wyniku głosowania akcjonariuszy, zmienić swój Statut i/lub Świadectwo Rejestracji Spółki (ang. </w:t>
      </w:r>
      <w:r>
        <w:rPr>
          <w:rFonts w:ascii="Times New Roman;serif" w:hAnsi="Times New Roman;serif"/>
          <w:b w:val="false"/>
          <w:i/>
          <w:color w:val="000000"/>
          <w:sz w:val="24"/>
        </w:rPr>
        <w:t>Certificate of Incorporation</w:t>
      </w:r>
      <w:r>
        <w:rPr>
          <w:rFonts w:ascii="Times New Roman;serif" w:hAnsi="Times New Roman;serif"/>
          <w:b w:val="false"/>
          <w:color w:val="000000"/>
          <w:sz w:val="24"/>
        </w:rPr>
        <w:t>) w sposób, który wpłynie na prawa posiadaczy Akcji. Dokumenty te znajdują się na stronie Spółki: https://investors.paloaltonetworks.com.</w:t>
      </w:r>
    </w:p>
    <w:p>
      <w:pPr>
        <w:pStyle w:val="TextBody"/>
        <w:bidi w:val="0"/>
        <w:spacing w:before="0" w:after="0"/>
        <w:jc w:val="left"/>
        <w:rPr/>
      </w:pPr>
      <w:r>
        <w:rPr/>
      </w:r>
    </w:p>
    <w:tbl>
      <w:tblPr>
        <w:tblW w:w="4095" w:type="dxa"/>
        <w:jc w:val="center"/>
        <w:tblInd w:w="0" w:type="dxa"/>
        <w:tblLayout w:type="fixed"/>
        <w:tblCellMar>
          <w:top w:w="28" w:type="dxa"/>
          <w:left w:w="28" w:type="dxa"/>
          <w:bottom w:w="28" w:type="dxa"/>
          <w:right w:w="28" w:type="dxa"/>
        </w:tblCellMar>
      </w:tblPr>
      <w:tblGrid>
        <w:gridCol w:w="1312"/>
        <w:gridCol w:w="1152"/>
        <w:gridCol w:w="1631"/>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4"/>
              </w:rPr>
            </w:pPr>
            <w:r>
              <w:rPr>
                <w:rFonts w:ascii="Times New Roman;serif" w:hAnsi="Times New Roman;serif"/>
                <w:b/>
                <w:color w:val="000000"/>
                <w:sz w:val="24"/>
              </w:rPr>
              <w:t>Dodatkowe informacje na temat Planu</w:t>
            </w:r>
          </w:p>
        </w:tc>
      </w:tr>
    </w:tbl>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4"/>
        </w:rPr>
        <w:t>Dodatkowe informacje na temat Planu można znaleźć na koncie uczestnika na stronie internetowej Brokera (lub jego następcy prawnego). Wnioski o udzielenie informacji na temat Planu można również kierować na adres: equity@paloaltonetworks.com</w:t>
      </w:r>
      <w:r>
        <w:rPr>
          <w:rFonts w:ascii="Times New Roman;serif" w:hAnsi="Times New Roman;serif"/>
          <w:b w:val="false"/>
          <w:color w:val="000000"/>
          <w:sz w:val="24"/>
          <w:u w:val="single"/>
        </w:rPr>
        <w:t>.</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WAŻNA INFORMACJA</w: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Spółka nie udziela żadnych porad o charakterze podatkowym, prawnym lub finansowym, ani nie wydaje żadnych zaleceń dotyczących tego, czy pracownik powinien zdecydować się na udział w Planie, czy też nie. Przed podjęciem jakichkolwiek działań związanych z Planem, pracownik powinien skonsultować się z własnymi doradcami podatkowymi, prawnymi i finansowymi w sprawie udziału w Planie. Ponadto, w zależności od tego, gdzie Akcje są notowane, od kraju zamieszkania pracownika i/lub kraju rezydencji jego brokera, pracownik może podlegać ograniczeniom w zakresie wykorzystywania informacji poufnych w obrocie i/lub przepisom o nadużyciach na rynku, które mogą wpływać na zdolność pracownika do przyjęcia, nabycia, sprzedaży lub rozporządzania w inny sposób Akcjami, prawami do Akcji (np. prawami nabycia) lub prawami związanymi z wartością Akcji w czasie, w którym uznaje się, że pracownik posiada „informacje poufne” dotyczące Spółki w rozumieniu przepisów prawa lub regulacji obowiązujących w kraju pracownika. Przepisy prawa miejscowego i miejscowe regulacje dotyczące wykorzystywania informacji poufnych w obrocie mogą również zabraniać anulowania lub zmiany zleceń złożonych przez pracownika przed wejściem w posiadanie informacji poufnych. Ponadto, pracownika może obowiązywać zakaz (i) ujawniania informacji poufnych osobom trzecim (w innych przypadkach niż na zasadzie „ścisłej potrzeby”) oraz (ii) „przekazywania wskazówek” osobom trzecim lub powodowania nabycia lub sprzedaży przez nie papierów wartościowych w inny sposób. Do osób trzecich mogą należeć również inni pracownicy. Wszelkie ograniczenia wynikające z tych praw lub przepisów są odrębne i dodatkowe w stosunku do ograniczeń, które mogą być nałożone w ramach obowiązującej polityki Spółki w zakresie wykorzystywania informacji poufnych w obrocie papierami wartościowymi. Należy pamiętać, że przestrzeganie wszelkich obowiązujących wymogów lub ograniczeń jest obowiązkiem pracownika i pracownik powinien skonsultować się ze swoim osobistym doradcą prawnym w celu określenia swoich osobistych zobowiązań i obowiązków.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02920"/>
                <wp:effectExtent l="0" t="0" r="0" b="0"/>
                <wp:wrapNone/>
                <wp:docPr id="130" name="Frame129"/>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2012 EMPLOYEE STOCK PURCHASE PLAN</w:t>
      </w:r>
    </w:p>
    <w:tbl>
      <w:tblPr>
        <w:tblW w:w="8729" w:type="dxa"/>
        <w:jc w:val="left"/>
        <w:tblInd w:w="0" w:type="dxa"/>
        <w:tblLayout w:type="fixed"/>
        <w:tblCellMar>
          <w:top w:w="28" w:type="dxa"/>
          <w:left w:w="28" w:type="dxa"/>
          <w:bottom w:w="28" w:type="dxa"/>
          <w:right w:w="28" w:type="dxa"/>
        </w:tblCellMar>
      </w:tblPr>
      <w:tblGrid>
        <w:gridCol w:w="2794"/>
        <w:gridCol w:w="2458"/>
        <w:gridCol w:w="3477"/>
      </w:tblGrid>
      <w:tr>
        <w:trPr/>
        <w:tc>
          <w:tcPr>
            <w:tcW w:w="2794"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r>
      <w:tr>
        <w:trPr/>
        <w:tc>
          <w:tcPr>
            <w:tcW w:w="872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 xml:space="preserve">Important Note on the Form of Election to Transfer the </w:t>
            </w:r>
          </w:p>
          <w:p>
            <w:pPr>
              <w:pStyle w:val="TableContents"/>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Employer’s Secondary Class 1 National Insurance Liability to the Participant</w:t>
            </w:r>
          </w:p>
        </w:tc>
      </w:tr>
    </w:tbl>
    <w:p>
      <w:pPr>
        <w:pStyle w:val="TextBody"/>
        <w:bidi w:val="0"/>
        <w:spacing w:lineRule="auto" w:line="288" w:before="0" w:after="240"/>
        <w:ind w:left="0" w:right="0" w:firstLine="720"/>
        <w:jc w:val="both"/>
        <w:rPr/>
      </w:pPr>
      <w:r>
        <w:rPr>
          <w:rFonts w:ascii="Times New Roman;serif" w:hAnsi="Times New Roman;serif"/>
          <w:b w:val="false"/>
          <w:color w:val="000000"/>
          <w:sz w:val="24"/>
        </w:rPr>
        <w:t>As a condition of participation in the Palo Alto Networks, Inc. 2012 Employee Stock Purchase Plan (the “</w:t>
      </w:r>
      <w:r>
        <w:rPr>
          <w:rFonts w:ascii="Times New Roman;serif" w:hAnsi="Times New Roman;serif"/>
          <w:b/>
          <w:color w:val="000000"/>
          <w:sz w:val="24"/>
        </w:rPr>
        <w:t>ESPP</w:t>
      </w:r>
      <w:r>
        <w:rPr>
          <w:color w:val="000000"/>
        </w:rPr>
        <w:t>”</w:t>
      </w:r>
      <w:r>
        <w:rPr>
          <w:rFonts w:ascii="Times New Roman;serif" w:hAnsi="Times New Roman;serif"/>
          <w:b w:val="false"/>
          <w:color w:val="000000"/>
          <w:sz w:val="24"/>
        </w:rPr>
        <w:t>) and the option to purchase shares of Palo Alto Networks,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that may be granted to you by the Company, you are required to enter into a joint election to transfer to you any liability for the employer’s secondary Class 1 National Insurance Contributions (the “</w:t>
      </w:r>
      <w:r>
        <w:rPr>
          <w:rFonts w:ascii="Times New Roman;serif" w:hAnsi="Times New Roman;serif"/>
          <w:b/>
          <w:color w:val="000000"/>
          <w:sz w:val="24"/>
        </w:rPr>
        <w:t>Employer’s Liability</w:t>
      </w:r>
      <w:r>
        <w:rPr>
          <w:color w:val="000000"/>
        </w:rPr>
        <w:t>”</w:t>
      </w:r>
      <w:r>
        <w:rPr>
          <w:rFonts w:ascii="Times New Roman;serif" w:hAnsi="Times New Roman;serif"/>
          <w:b w:val="false"/>
          <w:color w:val="000000"/>
          <w:sz w:val="24"/>
        </w:rPr>
        <w:t>) that may arise on the occurrence of a taxable event in respect of the option to purchase shares under the ESPP (the “</w:t>
      </w:r>
      <w:r>
        <w:rPr>
          <w:rFonts w:ascii="Times New Roman;serif" w:hAnsi="Times New Roman;serif"/>
          <w:b/>
          <w:color w:val="000000"/>
          <w:sz w:val="24"/>
        </w:rPr>
        <w:t>Joint Election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By entering into the Joint Election: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you agree that any Employer’s Liability that may arise in connection with or pursuant to the option to purchase shares (and the acquisition of the Company’s shares) or other taxable events in connection with the option to purchase shares will be transferred to you;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you authorise the Company and/or your employer to recover an amount sufficient to cover this liability by any method set forth in the Global Subscription Agreement and/or the Joint Election.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read the terms of the Joint Election carefully before agreeing to enroll in the ESPP.</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You understand that by providing your electronic signature and thereby enrolling in the ESPP, you are agreeing to be bound by the terms of the Joint 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02920"/>
                <wp:effectExtent l="0" t="0" r="0" b="0"/>
                <wp:wrapNone/>
                <wp:docPr id="131" name="Frame130"/>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FORM OF ELECTION TO TRANSFER THE EMPLOYER’S SECONDARY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CLASS 1 NATIONAL INSURANCE LIABILITY TO THE PARTICIPANT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1.Parties</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Election is between:</w:t>
      </w:r>
    </w:p>
    <w:p>
      <w:pPr>
        <w:pStyle w:val="TextBody"/>
        <w:bidi w:val="0"/>
        <w:spacing w:lineRule="auto" w:line="288" w:before="0" w:after="240"/>
        <w:ind w:left="0" w:right="0" w:hanging="720"/>
        <w:jc w:val="both"/>
        <w:rPr/>
      </w:pPr>
      <w:r>
        <w:rPr>
          <w:rFonts w:ascii="Times New Roman;serif" w:hAnsi="Times New Roman;serif"/>
          <w:b w:val="false"/>
          <w:color w:val="000000"/>
          <w:sz w:val="24"/>
        </w:rPr>
        <w:t>a.The individual who has obtained authorized access to this Election (the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 who is employed by one of the UK companies listed on the Schedule attached hereto (the “</w:t>
      </w:r>
      <w:r>
        <w:rPr>
          <w:rFonts w:ascii="Times New Roman;serif" w:hAnsi="Times New Roman;serif"/>
          <w:b/>
          <w:color w:val="000000"/>
          <w:sz w:val="24"/>
        </w:rPr>
        <w:t>Employer</w:t>
      </w:r>
      <w:r>
        <w:rPr>
          <w:color w:val="000000"/>
        </w:rPr>
        <w:t>”</w:t>
      </w:r>
      <w:r>
        <w:rPr>
          <w:rFonts w:ascii="Times New Roman;serif" w:hAnsi="Times New Roman;serif"/>
          <w:b w:val="false"/>
          <w:color w:val="000000"/>
          <w:sz w:val="24"/>
        </w:rPr>
        <w:t>) and who is eligible to receive options to purchase shares of common stock of Palo Alto Networks, Inc. pursuant to the terms and conditions of the Palo Alto Networks, Inc. 2012 Employee Stock Purchase Plan (the “</w:t>
      </w:r>
      <w:r>
        <w:rPr>
          <w:rFonts w:ascii="Times New Roman;serif" w:hAnsi="Times New Roman;serif"/>
          <w:b/>
          <w:color w:val="000000"/>
          <w:sz w:val="24"/>
        </w:rPr>
        <w:t>ESPP</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hanging="720"/>
        <w:jc w:val="both"/>
        <w:rPr/>
      </w:pPr>
      <w:r>
        <w:rPr>
          <w:rFonts w:ascii="Times New Roman;serif" w:hAnsi="Times New Roman;serif"/>
          <w:b w:val="false"/>
          <w:color w:val="000000"/>
          <w:sz w:val="24"/>
        </w:rPr>
        <w:t>b.</w:t>
      </w:r>
      <w:r>
        <w:rPr>
          <w:rFonts w:ascii="Times New Roman;serif" w:hAnsi="Times New Roman;serif"/>
          <w:b/>
          <w:color w:val="000000"/>
          <w:sz w:val="24"/>
        </w:rPr>
        <w:t xml:space="preserve">Palo Alto Networks, Inc. </w:t>
      </w:r>
      <w:r>
        <w:rPr>
          <w:rFonts w:ascii="Times New Roman;serif" w:hAnsi="Times New Roman;serif"/>
          <w:b w:val="false"/>
          <w:color w:val="000000"/>
          <w:sz w:val="24"/>
        </w:rPr>
        <w:t>(the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whose registered office is at 3000 Tannery Way, Santa Clara, CA 95054, U.S.A., which is entering into this Election on behalf of the Employer.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2.Purpose of Election</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a.This Election relates to the Employer’s secondary Class 1 National Insurance Contributions (the “</w:t>
      </w:r>
      <w:r>
        <w:rPr>
          <w:rFonts w:ascii="Times New Roman;serif" w:hAnsi="Times New Roman;serif"/>
          <w:b/>
          <w:color w:val="000000"/>
          <w:sz w:val="24"/>
        </w:rPr>
        <w:t>Employer's Liability</w:t>
      </w:r>
      <w:r>
        <w:rPr>
          <w:color w:val="000000"/>
        </w:rPr>
        <w:t>”</w:t>
      </w:r>
      <w:r>
        <w:rPr>
          <w:rFonts w:ascii="Times New Roman;serif" w:hAnsi="Times New Roman;serif"/>
          <w:b w:val="false"/>
          <w:color w:val="000000"/>
          <w:sz w:val="24"/>
        </w:rPr>
        <w:t>) that may arise on the occurrence of a “Taxable Event” in respect of the options to purchase shares of the Company granted under the ESPP (“</w:t>
      </w:r>
      <w:r>
        <w:rPr>
          <w:rFonts w:ascii="Times New Roman;serif" w:hAnsi="Times New Roman;serif"/>
          <w:b/>
          <w:color w:val="000000"/>
          <w:sz w:val="24"/>
        </w:rPr>
        <w:t>Options</w:t>
      </w:r>
      <w:r>
        <w:rPr>
          <w:color w:val="000000"/>
        </w:rPr>
        <w:t>”</w:t>
      </w:r>
      <w:r>
        <w:rPr>
          <w:rFonts w:ascii="Times New Roman;serif" w:hAnsi="Times New Roman;serif"/>
          <w:b w:val="false"/>
          <w:color w:val="000000"/>
          <w:sz w:val="24"/>
        </w:rPr>
        <w:t>) pursuant to section 4(4)(a) and/or paragraph 3B(1A) of Schedule 1 of the Social Security Contributions and Benefits Act 1992 (“</w:t>
      </w:r>
      <w:r>
        <w:rPr>
          <w:rFonts w:ascii="Times New Roman;serif" w:hAnsi="Times New Roman;serif"/>
          <w:b/>
          <w:color w:val="000000"/>
          <w:sz w:val="24"/>
        </w:rPr>
        <w:t>SCCBA</w:t>
      </w:r>
      <w:r>
        <w:rPr>
          <w:color w:val="000000"/>
        </w:rPr>
        <w:t>”</w:t>
      </w:r>
      <w:r>
        <w:rPr>
          <w:rFonts w:ascii="Times New Roman;serif" w:hAnsi="Times New Roman;serif"/>
          <w:b w:val="false"/>
          <w:color w:val="000000"/>
          <w:sz w:val="24"/>
        </w:rPr>
        <w:t>), including, without limitation:</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    the acquisition of securities pursuant to the Options (within section 477(3)(a)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    the assignment or release of the Options in return for consideration (within section 477(3)(b)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(iii)    the receipt of a benefit in connection with the Options other than a benefit within (i) or (ii) above (within section 477(3)(c)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(iv)    post-acquisition charges relating to the shares acquired pursuant to the ESPP (within section 427 of ITEPA);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(v)    post-acquisition charges relating to the shares acquired pursuant to the ESPP rights (within section 439 of the ITEPA).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In this Election, ITEPA means the Income Tax (Earnings and Pensions) Act 2003.</w:t>
      </w:r>
    </w:p>
    <w:p>
      <w:pPr>
        <w:pStyle w:val="TextBody"/>
        <w:bidi w:val="0"/>
        <w:spacing w:before="0" w:after="0"/>
        <w:ind w:left="0" w:right="0" w:firstLine="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b.This Election is made in accordance with paragraph 3B(1) of Schedule 1 to SCCBA.</w:t>
      </w:r>
    </w:p>
    <w:p>
      <w:pPr>
        <w:pStyle w:val="TextBody"/>
        <w:bidi w:val="0"/>
        <w:spacing w:before="0" w:after="0"/>
        <w:ind w:left="0" w:right="0" w:firstLine="72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c.This Election applies to all Options granted under the ESPP up to the termination date of the ESPP.</w:t>
      </w:r>
    </w:p>
    <w:p>
      <w:pPr>
        <w:pStyle w:val="TextBody"/>
        <w:bidi w:val="0"/>
        <w:spacing w:before="0" w:after="0"/>
        <w:ind w:left="0" w:right="0" w:firstLine="72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d.This Election does not apply in relation to any liability, or any part of any liability, arising as a result of regulations being given retrospective effect by virtue of section 4B(2) of either the SCCBA, or the Social Security Contributions and Benefits (Northern Ireland) Act 1992.</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e.This Election will not apply to the extent that it relates to relevant employment income, which is employment income of the earner by virtue of Chapter 3A of Part 7 of ITEPA (employment income: securities with artificially depressed market value).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3.The Election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and the Company jointly elect that the entire liability of the Employer to pay the Employer’s Liability on the Taxable Event is hereby transferred to the Participant. The Participant understands that, by signing or electronically accepting this Election, he or she will become personally liable for the Employer’s Liability covered by this Election. </w:t>
      </w:r>
    </w:p>
    <w:p>
      <w:pPr>
        <w:pStyle w:val="TextBody"/>
        <w:bidi w:val="0"/>
        <w:spacing w:before="0" w:after="0"/>
        <w:ind w:left="0" w:right="0" w:firstLine="720"/>
        <w:jc w:val="both"/>
        <w:rPr/>
      </w:pPr>
      <w:r>
        <w:rPr/>
      </w:r>
    </w:p>
    <w:p>
      <w:pPr>
        <w:pStyle w:val="TextBody"/>
        <w:bidi w:val="0"/>
        <w:spacing w:lineRule="auto" w:line="417"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4.Payment of the Employer’s Liability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Participant and the Company acknowledge that the Employer is under a duty to remit the Employer’s Liability to HM Revenue &amp; Customs on behalf of the Participant within fourteen (14) days after the end of the U.K. tax month during which the Taxable Event occurs (or within seventeen (17) days of the end of the U.K. tax month during which the Taxable Event occurs, if payments are made electronically), or such other period of time as may be prescribed. The Participant agrees to pay to the Employer the amount of the Employer’s Liability on demand, at any time on or after the Taxable Event, and hereby authorises the Employer to account for the Employer’s Liability to HM Revenue &amp; Customs.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b.Without limitation to Clause 4.1 above, the Participant hereby authorises the Company and/or the Employer to collect the Employer’s Liability from the Participant at any time after the Taxable Event: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    by deduction from salary or any other payment payable to the Participant at any time on or after the date of the Taxable Event; and/or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    directly from the Participant by payment in cash or cleared funds; and/or</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(iii)    by arranging, on behalf of the Participant, for the sale of some of the securities which the Participant is entitled to receive pursuant to the Options; and/or</w:t>
      </w:r>
    </w:p>
    <w:p>
      <w:pPr>
        <w:pStyle w:val="TextBody"/>
        <w:bidi w:val="0"/>
        <w:spacing w:before="0" w:after="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(iv)    where the proceeds of the gain are to be paid through a third party, the Participant will authorize that party to withhold an amount from the payment or to sell some of the securities which the Participant is entitled to receive pursuant to the Options; and/or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     through any other method as set forth in the relevant award agreement entered into between the Participant and the Company.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c.The Company hereby reserves for itself and the Employer the right to withhold the transfer of any securities to the Participant in respect of the ESPP until full payment of the Employer’s Liability is received.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5.Duration of Election</w:t>
      </w:r>
    </w:p>
    <w:p>
      <w:pPr>
        <w:pStyle w:val="TextBody"/>
        <w:bidi w:val="0"/>
        <w:spacing w:before="0" w:after="0"/>
        <w:ind w:left="0" w:right="0" w:firstLine="72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Participant and the Company agree to be bound by the terms of this Election regardless of whether the Participant is transferred, is abroad, or no longer renders services to the Employer on the date on which the Employer’s Liability becomes due.</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b.Any reference to the Company and/or the Employer shall include that entity’s successors in title and assigns as permitted in accordance with the terms of the Plan and relevant award agreement. This Election will continue in effect in respect of any awards which replace the Options in circumstances where section 483 of ITEPA applies.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c.This Election will continue in effect until the earliest of the following: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     the date on which both the Participant and the Company agree in writing that it should cease to have effect;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(ii)     the date on which the Company serves written notice on the Participant terminating its effect;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(iii)     the date on which HM Revenue &amp; Customs withdraws approval of this Election; or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(iv)     the date on which, after due payment of the Employer’s Liability in respect of the entirety of the Options to which this Election relates or could relate, this Election ceases to have effect according to its own terms.</w:t>
      </w:r>
    </w:p>
    <w:p>
      <w:pPr>
        <w:pStyle w:val="TextBody"/>
        <w:bidi w:val="0"/>
        <w:spacing w:before="240" w:after="283"/>
        <w:ind w:left="0" w:right="0" w:firstLine="720"/>
        <w:jc w:val="left"/>
        <w:rPr/>
      </w:pPr>
      <w:r>
        <w:rPr/>
      </w:r>
    </w:p>
    <w:p>
      <w:pPr>
        <w:pStyle w:val="TextBody"/>
        <w:bidi w:val="0"/>
        <w:spacing w:lineRule="auto" w:line="288" w:before="240" w:after="283"/>
        <w:ind w:left="0" w:right="0" w:firstLine="720"/>
        <w:jc w:val="left"/>
        <w:rPr>
          <w:rFonts w:ascii="Times New Roman;serif" w:hAnsi="Times New Roman;serif"/>
          <w:b/>
          <w:color w:val="000000"/>
          <w:sz w:val="24"/>
          <w:u w:val="single"/>
        </w:rPr>
      </w:pPr>
      <w:r>
        <w:rPr>
          <w:rFonts w:ascii="Times New Roman;serif" w:hAnsi="Times New Roman;serif"/>
          <w:b/>
          <w:color w:val="000000"/>
          <w:sz w:val="24"/>
          <w:u w:val="single"/>
        </w:rPr>
        <w:t>Acceptance by the Participant</w:t>
      </w:r>
    </w:p>
    <w:p>
      <w:pPr>
        <w:pStyle w:val="TextBody"/>
        <w:bidi w:val="0"/>
        <w:spacing w:lineRule="auto" w:line="288" w:before="240" w:after="283"/>
        <w:ind w:left="0" w:right="0" w:firstLine="720"/>
        <w:jc w:val="left"/>
        <w:rPr>
          <w:rFonts w:ascii="Times New Roman;serif" w:hAnsi="Times New Roman;serif"/>
          <w:b/>
          <w:color w:val="000000"/>
          <w:sz w:val="24"/>
        </w:rPr>
      </w:pPr>
      <w:r>
        <w:rPr>
          <w:rFonts w:ascii="Times New Roman;serif" w:hAnsi="Times New Roman;serif"/>
          <w:b/>
          <w:color w:val="000000"/>
          <w:sz w:val="24"/>
        </w:rPr>
        <w:t>By providing your electronic signature and enrolling in the ESPP, the Participant agrees to be bound by the terms hereof as stated above.</w:t>
      </w:r>
    </w:p>
    <w:p>
      <w:pPr>
        <w:pStyle w:val="TextBody"/>
        <w:bidi w:val="0"/>
        <w:spacing w:lineRule="auto" w:line="288" w:before="240" w:after="283"/>
        <w:ind w:left="0" w:right="0" w:firstLine="720"/>
        <w:jc w:val="left"/>
        <w:rPr>
          <w:rFonts w:ascii="Times New Roman;serif" w:hAnsi="Times New Roman;serif"/>
          <w:b/>
          <w:color w:val="000000"/>
          <w:sz w:val="24"/>
          <w:u w:val="single"/>
        </w:rPr>
      </w:pPr>
      <w:r>
        <w:rPr>
          <w:rFonts w:ascii="Times New Roman;serif" w:hAnsi="Times New Roman;serif"/>
          <w:b/>
          <w:color w:val="000000"/>
          <w:sz w:val="24"/>
          <w:u w:val="single"/>
        </w:rPr>
        <w:t>Acceptance by the Company</w:t>
      </w:r>
    </w:p>
    <w:p>
      <w:pPr>
        <w:pStyle w:val="TextBody"/>
        <w:bidi w:val="0"/>
        <w:spacing w:lineRule="auto" w:line="288" w:before="240" w:after="283"/>
        <w:ind w:left="0" w:right="0" w:firstLine="720"/>
        <w:jc w:val="left"/>
        <w:rPr>
          <w:rFonts w:ascii="Times New Roman;serif" w:hAnsi="Times New Roman;serif"/>
          <w:b/>
          <w:color w:val="000000"/>
          <w:sz w:val="24"/>
        </w:rPr>
      </w:pPr>
      <w:r>
        <w:rPr>
          <w:rFonts w:ascii="Times New Roman;serif" w:hAnsi="Times New Roman;serif"/>
          <w:b/>
          <w:color w:val="000000"/>
          <w:sz w:val="24"/>
        </w:rPr>
        <w:t>The Company acknowledges that, by arranging for the scanned signature of an authorized representative to appear on this Election, the Company agrees to be bound by the terms hereof as stated above.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 xml:space="preserve">Signed for and on behalf of </w:t>
      </w:r>
      <w:r>
        <w:rPr>
          <w:rFonts w:ascii="Times New Roman;serif" w:hAnsi="Times New Roman;serif"/>
          <w:b/>
          <w:color w:val="000000"/>
          <w:sz w:val="24"/>
        </w:rPr>
        <w:t>Palo Alto Networks, Inc.</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Vice President &amp; General Counsel</w:t>
      </w:r>
    </w:p>
    <w:p>
      <w:pPr>
        <w:pStyle w:val="TextBody"/>
        <w:bidi w:val="0"/>
        <w:spacing w:before="240" w:after="283"/>
        <w:ind w:left="0" w:right="0" w:hanging="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02920"/>
                <wp:effectExtent l="0" t="0" r="0" b="0"/>
                <wp:wrapNone/>
                <wp:docPr id="132" name="Frame131"/>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r>
                              <w:br w:type="page"/>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0"/>
        <w:ind w:left="0" w:right="0" w:hanging="720"/>
        <w:jc w:val="center"/>
        <w:rPr>
          <w:rFonts w:ascii="Times New Roman;serif" w:hAnsi="Times New Roman;serif"/>
          <w:b/>
          <w:color w:val="000000"/>
          <w:sz w:val="24"/>
        </w:rPr>
      </w:pPr>
      <w:r>
        <w:rPr>
          <w:rFonts w:ascii="Times New Roman;serif" w:hAnsi="Times New Roman;serif"/>
          <w:b/>
          <w:color w:val="000000"/>
          <w:sz w:val="24"/>
        </w:rPr>
        <w:t>Schedule of Employer Companies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employing companies to which this Election relates are: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NAME</w:t>
      </w:r>
      <w:r>
        <w:rPr>
          <w:rFonts w:ascii="Times New Roman;serif" w:hAnsi="Times New Roman;serif"/>
          <w:b/>
          <w:color w:val="000000"/>
          <w:sz w:val="24"/>
        </w:rPr>
        <w:t>: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Palo Alto Networks (UK) Limited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Registered number: 06851390</w:t>
      </w:r>
    </w:p>
    <w:tbl>
      <w:tblPr>
        <w:tblW w:w="5833" w:type="dxa"/>
        <w:jc w:val="left"/>
        <w:tblInd w:w="0" w:type="dxa"/>
        <w:tblLayout w:type="fixed"/>
        <w:tblCellMar>
          <w:top w:w="28" w:type="dxa"/>
          <w:left w:w="28" w:type="dxa"/>
          <w:bottom w:w="28" w:type="dxa"/>
          <w:right w:w="28" w:type="dxa"/>
        </w:tblCellMar>
      </w:tblPr>
      <w:tblGrid>
        <w:gridCol w:w="1005"/>
        <w:gridCol w:w="882"/>
        <w:gridCol w:w="888"/>
        <w:gridCol w:w="894"/>
        <w:gridCol w:w="894"/>
        <w:gridCol w:w="1270"/>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Office: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22 Bishopsgate,</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Level 55,</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 xml:space="preserve">London, </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EC2N 4BQ, England</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District 623</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Reference: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14747 26068</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 – North East Metropolitan</w:t>
            </w:r>
          </w:p>
        </w:tc>
      </w:tr>
      <w:tr>
        <w:trPr/>
        <w:tc>
          <w:tcPr>
            <w:tcW w:w="2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Reference:</w:t>
            </w:r>
          </w:p>
        </w:tc>
        <w:tc>
          <w:tcPr>
            <w:tcW w:w="3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120/PH00260439</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4"/>
          <w:u w:val="single"/>
        </w:rPr>
        <w:t>NAME</w:t>
      </w:r>
      <w:r>
        <w:rPr>
          <w:rFonts w:ascii="Times New Roman;serif" w:hAnsi="Times New Roman;serif"/>
          <w:b/>
          <w:color w:val="000000"/>
          <w:sz w:val="24"/>
        </w:rPr>
        <w:t>: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Palo Alto Networks FS International Limited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Registered number: 13789823</w:t>
      </w:r>
    </w:p>
    <w:tbl>
      <w:tblPr>
        <w:tblW w:w="5833" w:type="dxa"/>
        <w:jc w:val="left"/>
        <w:tblInd w:w="0" w:type="dxa"/>
        <w:tblLayout w:type="fixed"/>
        <w:tblCellMar>
          <w:top w:w="28" w:type="dxa"/>
          <w:left w:w="28" w:type="dxa"/>
          <w:bottom w:w="28" w:type="dxa"/>
          <w:right w:w="28" w:type="dxa"/>
        </w:tblCellMar>
      </w:tblPr>
      <w:tblGrid>
        <w:gridCol w:w="1005"/>
        <w:gridCol w:w="882"/>
        <w:gridCol w:w="888"/>
        <w:gridCol w:w="894"/>
        <w:gridCol w:w="894"/>
        <w:gridCol w:w="1270"/>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Registered Office: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22 Bishopsgate,</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Level 55,</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 xml:space="preserve">London, </w:t>
            </w:r>
          </w:p>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EC2N 4BQ, England</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left"/>
              <w:rPr>
                <w:rFonts w:ascii="Times New Roman;serif" w:hAnsi="Times New Roman;serif"/>
                <w:b w:val="false"/>
                <w:color w:val="000000"/>
                <w:sz w:val="24"/>
              </w:rPr>
            </w:pPr>
            <w:r>
              <w:rPr>
                <w:rFonts w:ascii="Times New Roman;serif" w:hAnsi="Times New Roman;serif"/>
                <w:b w:val="false"/>
                <w:color w:val="000000"/>
                <w:sz w:val="24"/>
              </w:rPr>
              <w:t>District 623</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Corporation Tax Reference:</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26559 18447</w:t>
            </w:r>
          </w:p>
        </w:tc>
      </w:tr>
      <w:tr>
        <w:trPr/>
        <w:tc>
          <w:tcPr>
            <w:tcW w:w="2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Tax District:</w:t>
            </w:r>
          </w:p>
        </w:tc>
        <w:tc>
          <w:tcPr>
            <w:tcW w:w="30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 – North East Metropolitan</w:t>
            </w:r>
          </w:p>
        </w:tc>
      </w:tr>
      <w:tr>
        <w:trPr/>
        <w:tc>
          <w:tcPr>
            <w:tcW w:w="2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PAYE Reference:</w:t>
            </w:r>
          </w:p>
        </w:tc>
        <w:tc>
          <w:tcPr>
            <w:tcW w:w="305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firstLine="14"/>
              <w:jc w:val="both"/>
              <w:rPr>
                <w:rFonts w:ascii="Times New Roman;serif" w:hAnsi="Times New Roman;serif"/>
                <w:b w:val="false"/>
                <w:color w:val="000000"/>
                <w:sz w:val="24"/>
              </w:rPr>
            </w:pPr>
            <w:r>
              <w:rPr>
                <w:rFonts w:ascii="Times New Roman;serif" w:hAnsi="Times New Roman;serif"/>
                <w:b w:val="false"/>
                <w:color w:val="000000"/>
                <w:sz w:val="24"/>
              </w:rPr>
              <w:t>120/TE66757</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95450" cy="733425"/>
            <wp:effectExtent l="0" t="0" r="0" b="0"/>
            <wp:docPr id="1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 descr=""/>
                    <pic:cNvPicPr>
                      <a:picLocks noChangeAspect="1" noChangeArrowheads="1"/>
                    </pic:cNvPicPr>
                  </pic:nvPicPr>
                  <pic:blipFill>
                    <a:blip r:embed="rId51"/>
                    <a:stretch>
                      <a:fillRect/>
                    </a:stretch>
                  </pic:blipFill>
                  <pic:spPr bwMode="auto">
                    <a:xfrm>
                      <a:off x="0" y="0"/>
                      <a:ext cx="1695450" cy="733425"/>
                    </a:xfrm>
                    <a:prstGeom prst="rect">
                      <a:avLst/>
                    </a:prstGeom>
                  </pic:spPr>
                </pic:pic>
              </a:graphicData>
            </a:graphic>
          </wp:inline>
        </w:drawing>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02920"/>
                <wp:effectExtent l="0" t="0" r="0" b="0"/>
                <wp:wrapNone/>
                <wp:docPr id="134" name="Frame132"/>
                <a:graphic xmlns:a="http://schemas.openxmlformats.org/drawingml/2006/main">
                  <a:graphicData uri="http://schemas.microsoft.com/office/word/2010/wordprocessingShape">
                    <wps:wsp>
                      <wps:cNvSpPr txBox="1"/>
                      <wps:spPr>
                        <a:xfrm>
                          <a:off x="0" y="0"/>
                          <a:ext cx="6480175" cy="502920"/>
                        </a:xfrm>
                        <a:prstGeom prst="rect"/>
                        <a:solidFill>
                          <a:srgbClr val="FFFFFF"/>
                        </a:solidFill>
                      </wps:spPr>
                      <wps:txbx>
                        <w:txbxContent>
                          <w:p>
                            <w:pPr>
                              <w:pStyle w:val="TextBody"/>
                              <w:bidi w:val="0"/>
                              <w:spacing w:before="0" w:after="0"/>
                              <w:jc w:val="left"/>
                              <w:rPr/>
                            </w:pPr>
                            <w:r>
                              <w:rPr/>
                            </w:r>
                          </w:p>
                          <w:p>
                            <w:pPr>
                              <w:pStyle w:val="TextBody"/>
                              <w:bidi w:val="0"/>
                              <w:spacing w:before="24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240" w:after="283"/>
                        <w:ind w:left="0" w:right="0" w:firstLine="72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10.14</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Nir Zuk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Dear Nir: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Amendment and Restated Employment Letter (“Amendment”) confirms the transfer of your employment from Palo Alto Networks (Israel Services) Ltd. to Palo Alto Networks, Inc. (the “Company”) effective July 1, 2025 (“Effective Date”), subject to the same or similar terms and conditions as set forth in your Employment Offer Letter dated December 19, 2011 as set forth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Position</w:t>
      </w:r>
      <w:r>
        <w:rPr>
          <w:rFonts w:ascii="Times New Roman;serif" w:hAnsi="Times New Roman;serif"/>
          <w:b w:val="false"/>
          <w:color w:val="000000"/>
          <w:sz w:val="24"/>
        </w:rPr>
        <w:t>. You will continue to serve as Chief Technology Officer of the Company. You will continue to report to the Chief Executive Officer and shall perform the duties and responsibilities customary for such position and such other related duties as are assigned by the Chief Executive Officer. This is a full-time position. While you render services to the Company, you will not engage in any other employment, consulting or other business activity (whether full-time or part-time) that would create a conflict of interest with the Company. You may engage in civic and not-for-profit activities as long as such activities do not interfere with the performance of your duties hereunder. By signing this Amendment, you confirm to the Company that you have no contractual commitments or other legal obligations that would prohibit you from performing your duties for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Salary</w:t>
      </w:r>
      <w:r>
        <w:rPr>
          <w:rFonts w:ascii="Times New Roman;serif" w:hAnsi="Times New Roman;serif"/>
          <w:b w:val="false"/>
          <w:color w:val="000000"/>
          <w:sz w:val="24"/>
        </w:rPr>
        <w:t>. Your base salary will be $430,000 USD per year, less payroll deductions and all required withholdings. You will be paid semi-monthly and you will be eligible for standard Company benefits. Most insurance benefits will be effective on your start date. Your position will be full time, Exempt employment.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Variable Incentive Program (“VIP”)</w:t>
      </w:r>
      <w:r>
        <w:rPr>
          <w:rFonts w:ascii="Times New Roman;serif" w:hAnsi="Times New Roman;serif"/>
          <w:b w:val="false"/>
          <w:color w:val="000000"/>
          <w:sz w:val="24"/>
        </w:rPr>
        <w:t>. Additionally, you will be eligible for an annual variable incentive target of 100% of your base salary (less payroll deductions and all required withholdings) in accordance with the applicable Palo Alto Networks incentive compensation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At Will Employment</w:t>
      </w:r>
      <w:r>
        <w:rPr>
          <w:rFonts w:ascii="Times New Roman;serif" w:hAnsi="Times New Roman;serif"/>
          <w:b w:val="false"/>
          <w:color w:val="000000"/>
          <w:sz w:val="24"/>
        </w:rPr>
        <w:t xml:space="preserve">. While we look forward to continue a productive relationship, your employment with the Company, however, is for an unspecified period of time and this Amendment creates an at-will employment relationship that may be terminated (subject to the terms of this Amendment ) by you or the Company at any time for any reason and with or without cause or prior notice. Upon termination of your employment for any reason, you shall be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entitled to receive any compensation earned and reimbursements due through the effective date of termination.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Termination Benefits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Following a Change in Contro</w:t>
      </w:r>
      <w:r>
        <w:rPr>
          <w:rFonts w:ascii="Times New Roman;serif" w:hAnsi="Times New Roman;serif"/>
          <w:b w:val="false"/>
          <w:color w:val="000000"/>
          <w:sz w:val="24"/>
        </w:rPr>
        <w:t>l. In the event that there is a Change in Control of the Company and the Company or its successor terminates your employment other than for Cause, or you terminate your employment for Good Reason, in either case upon or within twelve (12) months following the Change in Control, then you will be entitled to receive: (i) a lump-sum payment equal to your then-current annual base salary, 100% of your target bonus for that fiscal year, and reimbursement of twelve (12) months of your COBRA premiums in a lump sum; and (ii) acceleration of the vesting of the greater of (A) twelve (12) months vesting of your then-outstanding unvested time-based equity awards, or (B) fifty percent (50%) of your then-outstanding unvested time-based equity awards (for the avoidance of doubt, the greater of under this sub-section (ii) will be determined on an award by award basis) (collectively, the “Change in Control Severance Benefits”). Your entitlement to the Change in Control Severance Benefits is subject to your compliance with subsection (b) below.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Form and Timing of Payment.</w:t>
      </w:r>
      <w:r>
        <w:rPr>
          <w:color w:val="000000"/>
        </w:rPr>
        <w:t xml:space="preserve"> </w:t>
      </w:r>
      <w:r>
        <w:rPr>
          <w:rFonts w:ascii="Times New Roman;serif" w:hAnsi="Times New Roman;serif"/>
          <w:b w:val="false"/>
          <w:color w:val="000000"/>
          <w:sz w:val="24"/>
        </w:rPr>
        <w:t>This Section 4 will not apply unless you (i) have returned all Company property in your possession, (ii) have resigned as a member of the Board of the Company and all of its subsidiaries, to the extent applicable, and (iii) have executed a general release of all claims that you may have against the Company or persons affiliated with the Company. The release must be in the form prescribed by the Company.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4. The severance payments will be paid in lump sum following the effectiveness of the release within 60 days after your separation. Notwithstanding the foregoing, if the 60-day period described in the preceding sentence spans two calendar years and/or if your severance payments are Deferred Payments (as defined below), then the payments will be paid in lump sum on the 60th day following your termination of employment, subject to Section 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 For purposes of this Amendment, “Cause” shall mean: (i) conviction of any felony or any crime involving moral turpitude or dishonesty; (ii) participation in intentional fraud or an act of willful dishonesty against the Company; (iii) willful breach of the Company’s policies which materially harms the Company; (iv) intentional damage of a substantial amount of the Company’s property; (v) willful and material breach of this agreement or Employee Invention Assignment and Confidentiality Agreement; or (vi) a willful failure or refusal in a material respect by you to follow the lawful, reasonable policies or directions of the Company as specified by the Board or the Chief Executive Officer after being provided with notice of such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failure, such notice specifying in reasonable detail the tasks which must be accomplished and a timeline for the accomplishment to avoid termination for Cause, and an opportunity to cure within thirty (30) days of receipt of such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 For purposes of this Amendment, “Good Reason” shall mean: (i) a material reduction in your authority, status, obligations or responsibilities, provided that following a Change in Control a change in title alone (not accompanied by a change in authority, status, obligations or responsibilities) shall not constitute a material reduction; (ii) a reduction of your total annual compensation of more than 10% unless such reduction is no greater (in percentage terms) than compensation reductions imposed on substantially all of the Company’s employees pursuant to a directive of the Board; (iii) any failure by the Company to pay your base salary; or (iv) the relocation of the principal place of the Company’s business to a location that is more than thirty-five (35) miles further from your home than before the relocation. Your resignation must occur within 12 months after one of the foregoing conditions has come into existence without your consent. 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(iii) For purposes of this Amendment, “Change in Control” shall mean: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Section 280G</w:t>
      </w:r>
      <w:r>
        <w:rPr>
          <w:rFonts w:ascii="Times New Roman;serif" w:hAnsi="Times New Roman;serif"/>
          <w:b w:val="false"/>
          <w:color w:val="000000"/>
          <w:sz w:val="24"/>
        </w:rPr>
        <w:t xml:space="preserve">. If any payments and other benefits provided for in this Amendment or otherwise constitute “parachute payments” within the meaning of Section 280G of the Code and, but for this Section 5, would be subject to the excise tax imposed by Section 4999 of the Code, then payments and other benefits will be payable to you either in full or in such lesser amounts as would result, after taking into account the applicable federal, state and local income taxes and the excise tax imposed by Section 4999, on your receipt on an after-tax basis of the greatest amount of payments and other benefits, by reducing payments in the following order: (i) cancellation of accelerated vesting of stock options that are out-of-the-money; (ii) reduction in cash payments; (iii) cancellation of accelerated vesting of all equity awards that are not out-of-the-money stock options; and (iv) other employee benefits. In the event that acceleration of vesting of equity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award compensation is to be reduced, such acceleration of vesting shall be cancelled in the reverse order of the date of grant.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Section 409A</w:t>
      </w:r>
      <w:r>
        <w:rPr>
          <w:rFonts w:ascii="Times New Roman;serif" w:hAnsi="Times New Roman;serif"/>
          <w:b w:val="false"/>
          <w:color w:val="000000"/>
          <w:sz w:val="24"/>
        </w:rPr>
        <w:t>. For purposes of this Amendment, a termination of employment will be determined consistent with the rules relating to a “separation from service” as defined in Section 409A of the Code and the regulations thereunder (“Section 409A”). Notwithstanding anything else provided herein, to the extent any payments provided under this Amendment in connection with your termination of employment constitute deferred compensation subject to Section 409A (“Deferred Payments”), and you are deemed at the time of such termination of employment to be a “specified employee” under Section 409A, then such payment shall not be made or commence until the earlier of (i) the expiration of the six (6)-month period measured from your separation from service from the Company or (ii)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that any provision of this Amendment is ambiguous as to its compliance with Section 409A, the provision will be read in such a manner so that all payments hereunder comply with Section 409A. To the extent any payment under this Amendment may be classified as a “short-term deferral” within the meaning of Section 409A, such payment shall be deemed a short-term deferral, even if it may also qualify for an exemption from Section 409A under another provision of Section 409A. Payments pursuant to this Amendment are intended to constitute separate payments for purposes of Section 1.409A-2(b)(2) of the Treasury Regulations.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Benefits</w:t>
      </w:r>
      <w:r>
        <w:rPr>
          <w:rFonts w:ascii="Times New Roman;serif" w:hAnsi="Times New Roman;serif"/>
          <w:b w:val="false"/>
          <w:color w:val="000000"/>
          <w:sz w:val="24"/>
        </w:rPr>
        <w:t>. You will be eligible for the Company’s standard employee benefit programs including paid time off/flexible time off, as applicable, medical, dental, and vision coverage, and a 401(k) retirement program subject to the applicable plan terms. Details about these benefits will be made available to you for your review. You should note that the Company retains the right to modify, in its sole discretion, any or all of these preceding terms of employment from time to time as is deemed necessary.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Confidentiality; Compliance with Policies.</w:t>
      </w:r>
      <w:r>
        <w:rPr>
          <w:color w:val="000000"/>
        </w:rPr>
        <w:t xml:space="preserve"> </w:t>
      </w:r>
      <w:r>
        <w:rPr>
          <w:rFonts w:ascii="Times New Roman;serif" w:hAnsi="Times New Roman;serif"/>
          <w:b w:val="false"/>
          <w:color w:val="000000"/>
          <w:sz w:val="24"/>
        </w:rPr>
        <w:t>As an employee of the Company, you will have access to certain confidential information of the Company and you may, during the course of your employment, develop certain information or inventions that will be the property of the Company. To protect the interests of the Company, as a condition of your employment you were required to sign the Company’s “Employee Invention Assignment and Confidentiality Amendment”. We wish to impress upon you that we do not want you to, and we hereby direct you not to, bring with you any confidential or proprietary material of any former employer or to violate any other obligations you may have to any former employer. You represent that your signing of this Amendment and the Company’s Employee Invention Assignment and Confidentiality Agreement, and your continued employment with the Company, will not violate any agreement currently in place between yourself and current or past employers. You agree to continue to be bound by the policies and procedures of the Company now or hereafter in effect relating to the conduct of employees.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Authorization to Work.</w:t>
      </w:r>
      <w:r>
        <w:rPr>
          <w:color w:val="000000"/>
        </w:rPr>
        <w:t xml:space="preserve"> </w:t>
      </w:r>
      <w:r>
        <w:rPr>
          <w:rFonts w:ascii="Times New Roman;serif" w:hAnsi="Times New Roman;serif"/>
          <w:b w:val="false"/>
          <w:color w:val="000000"/>
          <w:sz w:val="24"/>
        </w:rPr>
        <w:t>Please note that because of employer regulations adopted in the Immigration Reform and Control Act of 1986, within three (3) business days of commencing employment with the Company you were required to present documentation demonstrating that you have authorization to work in the United States. By your signature to this Amendment, you represent that you have presented the Company such documentation.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Miscellaneous.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Successors. This Amendment shall inure to the benefit of and be binding upon (a) the Company and any of its successors, and (b) you and your heirs, executors and representatives in the event of your death. Any successor to the Company shall be deemed substituted for the Company under the terms of this agreement for all purposes. In the event of a Change in Control, the Company agrees to obtain assumption of this Amendment by its successor.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 Modification. This Amendment, including, but not limited to the at will provision above, may not be amended or modified other than by a written agreement designated as an amendment and executed by you and a representative of the Board, although the Company reserves the right to unilaterally modify your compensation, benefits, job title and duties (subject to any express limitations set forth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 Complete Agreement. This Amendment letter, together with your Employee Invention Assignment and Confidentiality Agreement, the D&amp;O Indemnification Agreement (if any), the Company’s Equity Incentive Plans and Alternative Dispute Resolution Agreements (if you choose to agree to them) forms the complete and exclusive statement of your employment agreement with the Company. The employment terms in this letter supersede any other agreements or promises made to you by anyone, whether oral or written.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before="0" w:after="0"/>
        <w:jc w:val="left"/>
        <w:rPr/>
      </w:pPr>
      <w:r>
        <w:rPr/>
      </w:r>
    </w:p>
    <w:tbl>
      <w:tblPr>
        <w:tblW w:w="5006" w:type="dxa"/>
        <w:jc w:val="left"/>
        <w:tblInd w:w="0" w:type="dxa"/>
        <w:tblLayout w:type="fixed"/>
        <w:tblCellMar>
          <w:top w:w="28" w:type="dxa"/>
          <w:left w:w="28" w:type="dxa"/>
          <w:bottom w:w="28" w:type="dxa"/>
          <w:right w:w="28" w:type="dxa"/>
        </w:tblCellMar>
      </w:tblPr>
      <w:tblGrid>
        <w:gridCol w:w="752"/>
        <w:gridCol w:w="663"/>
        <w:gridCol w:w="669"/>
        <w:gridCol w:w="109"/>
        <w:gridCol w:w="109"/>
        <w:gridCol w:w="109"/>
        <w:gridCol w:w="758"/>
        <w:gridCol w:w="758"/>
        <w:gridCol w:w="1079"/>
      </w:tblGrid>
      <w:tr>
        <w:trPr/>
        <w:tc>
          <w:tcPr>
            <w:tcW w:w="7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Accepted by: Nir Zuk on </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on </w:t>
            </w:r>
            <w:r>
              <w:rPr>
                <w:rFonts w:ascii="Times New Roman;serif" w:hAnsi="Times New Roman;serif"/>
                <w:b w:val="false"/>
                <w:color w:val="000000"/>
                <w:sz w:val="24"/>
                <w:u w:val="single"/>
              </w:rPr>
              <w:t>July 9, 2025</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Aimee Hoyt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Nir Zuk</w:t>
            </w:r>
          </w:p>
        </w:tc>
      </w:tr>
      <w:tr>
        <w:trPr/>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Aimee Hoyt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Nir Zuk</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People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 xml:space="preserve">Exhibit 19.1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38810"/>
                <wp:effectExtent l="0" t="0" r="0" b="0"/>
                <wp:wrapNone/>
                <wp:docPr id="135" name="Frame133"/>
                <a:graphic xmlns:a="http://schemas.openxmlformats.org/drawingml/2006/main">
                  <a:graphicData uri="http://schemas.microsoft.com/office/word/2010/wordprocessingShape">
                    <wps:wsp>
                      <wps:cNvSpPr txBox="1"/>
                      <wps:spPr>
                        <a:xfrm>
                          <a:off x="0" y="0"/>
                          <a:ext cx="6480175" cy="638810"/>
                        </a:xfrm>
                        <a:prstGeom prst="rect"/>
                        <a:solidFill>
                          <a:srgbClr val="FFFFFF"/>
                        </a:solidFill>
                      </wps:spPr>
                      <wps:txbx>
                        <w:txbxContent>
                          <w:p>
                            <w:pPr>
                              <w:pStyle w:val="TextBody"/>
                              <w:bidi w:val="0"/>
                              <w:spacing w:before="0" w:after="0"/>
                              <w:jc w:val="right"/>
                              <w:rPr/>
                            </w:pPr>
                            <w:r>
                              <w:rPr/>
                              <w:drawing>
                                <wp:inline distT="0" distB="0" distL="0" distR="0">
                                  <wp:extent cx="7677150" cy="400050"/>
                                  <wp:effectExtent l="0" t="0" r="0" b="0"/>
                                  <wp:docPr id="1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 descr=""/>
                                          <pic:cNvPicPr>
                                            <a:picLocks noChangeAspect="1" noChangeArrowheads="1"/>
                                          </pic:cNvPicPr>
                                        </pic:nvPicPr>
                                        <pic:blipFill>
                                          <a:blip r:embed="rId52"/>
                                          <a:stretch>
                                            <a:fillRect/>
                                          </a:stretch>
                                        </pic:blipFill>
                                        <pic:spPr bwMode="auto">
                                          <a:xfrm>
                                            <a:off x="0" y="0"/>
                                            <a:ext cx="7677150" cy="400050"/>
                                          </a:xfrm>
                                          <a:prstGeom prst="rect">
                                            <a:avLst/>
                                          </a:prstGeom>
                                        </pic:spPr>
                                      </pic:pic>
                                    </a:graphicData>
                                  </a:graphic>
                                </wp:inline>
                              </w:drawing>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0.3pt;mso-wrap-distance-left:0pt;mso-wrap-distance-right:0pt;mso-wrap-distance-top:0pt;mso-wrap-distance-bottom:0pt;margin-top:0pt;mso-position-vertical:top;mso-position-vertical-relative:text;margin-left:-422.4pt;mso-position-horizontal:left;mso-position-horizontal-relative:text">
                <v:textbox>
                  <w:txbxContent>
                    <w:p>
                      <w:pPr>
                        <w:pStyle w:val="TextBody"/>
                        <w:bidi w:val="0"/>
                        <w:spacing w:before="0" w:after="0"/>
                        <w:jc w:val="right"/>
                        <w:rPr/>
                      </w:pPr>
                      <w:r>
                        <w:rPr/>
                        <w:drawing>
                          <wp:inline distT="0" distB="0" distL="0" distR="0">
                            <wp:extent cx="7677150" cy="400050"/>
                            <wp:effectExtent l="0" t="0" r="0" b="0"/>
                            <wp:docPr id="1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 descr=""/>
                                    <pic:cNvPicPr>
                                      <a:picLocks noChangeAspect="1" noChangeArrowheads="1"/>
                                    </pic:cNvPicPr>
                                  </pic:nvPicPr>
                                  <pic:blipFill>
                                    <a:blip r:embed="rId53"/>
                                    <a:stretch>
                                      <a:fillRect/>
                                    </a:stretch>
                                  </pic:blipFill>
                                  <pic:spPr bwMode="auto">
                                    <a:xfrm>
                                      <a:off x="0" y="0"/>
                                      <a:ext cx="7677150" cy="400050"/>
                                    </a:xfrm>
                                    <a:prstGeom prst="rect">
                                      <a:avLst/>
                                    </a:prstGeom>
                                  </pic:spPr>
                                </pic:pic>
                              </a:graphicData>
                            </a:graphic>
                          </wp:inline>
                        </w:drawing>
                      </w:r>
                    </w:p>
                    <w:p>
                      <w:pPr>
                        <w:pStyle w:val="TextBody"/>
                        <w:bidi w:val="0"/>
                        <w:spacing w:before="0" w:after="0"/>
                        <w:jc w:val="right"/>
                        <w:rPr/>
                      </w:pPr>
                      <w:r>
                        <w:rPr/>
                      </w:r>
                    </w:p>
                  </w:txbxContent>
                </v:textbox>
                <w10:wrap type="none"/>
              </v:rect>
            </w:pict>
          </mc:Fallback>
        </mc:AlternateContent>
      </w:r>
    </w:p>
    <w:p>
      <w:pPr>
        <w:pStyle w:val="TextBody"/>
        <w:bidi w:val="0"/>
        <w:spacing w:before="0" w:after="0"/>
        <w:jc w:val="right"/>
        <w:rPr/>
      </w:pPr>
      <w:r>
        <w:rPr/>
        <w:drawing>
          <wp:inline distT="0" distB="0" distL="0" distR="0">
            <wp:extent cx="1695450" cy="733425"/>
            <wp:effectExtent l="0" t="0" r="0" b="0"/>
            <wp:docPr id="1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 descr=""/>
                    <pic:cNvPicPr>
                      <a:picLocks noChangeAspect="1" noChangeArrowheads="1"/>
                    </pic:cNvPicPr>
                  </pic:nvPicPr>
                  <pic:blipFill>
                    <a:blip r:embed="rId54"/>
                    <a:stretch>
                      <a:fillRect/>
                    </a:stretch>
                  </pic:blipFill>
                  <pic:spPr bwMode="auto">
                    <a:xfrm>
                      <a:off x="0" y="0"/>
                      <a:ext cx="1695450" cy="733425"/>
                    </a:xfrm>
                    <a:prstGeom prst="rect">
                      <a:avLst/>
                    </a:prstGeom>
                  </pic:spPr>
                </pic:pic>
              </a:graphicData>
            </a:graphic>
          </wp:inline>
        </w:drawing>
      </w:r>
    </w:p>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PALO ALTO NETWORKS,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INSIDER TRADING POLICY</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Guidelines with Respect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Certain Transactions in Securities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as of September 6, 2012</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Last Amended and Restated Effective May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tbl>
      <w:tblPr>
        <w:tblW w:w="10205" w:type="dxa"/>
        <w:jc w:val="center"/>
        <w:tblInd w:w="0" w:type="dxa"/>
        <w:tblLayout w:type="fixed"/>
        <w:tblCellMar>
          <w:top w:w="28" w:type="dxa"/>
          <w:left w:w="28" w:type="dxa"/>
          <w:bottom w:w="28" w:type="dxa"/>
          <w:right w:w="28" w:type="dxa"/>
        </w:tblCellMar>
      </w:tblPr>
      <w:tblGrid>
        <w:gridCol w:w="220"/>
        <w:gridCol w:w="194"/>
        <w:gridCol w:w="202"/>
        <w:gridCol w:w="3007"/>
        <w:gridCol w:w="2973"/>
        <w:gridCol w:w="2977"/>
        <w:gridCol w:w="184"/>
        <w:gridCol w:w="184"/>
        <w:gridCol w:w="264"/>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u w:val="single"/>
              </w:rPr>
            </w:pPr>
            <w:r>
              <w:rPr>
                <w:rFonts w:ascii="Times New Roman;serif" w:hAnsi="Times New Roman;serif"/>
                <w:b/>
                <w:color w:val="000000"/>
                <w:sz w:val="22"/>
                <w:u w:val="single"/>
              </w:rPr>
              <w:t>Page</w:t>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INTRODUCTION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7">
              <w:r>
                <w:rPr>
                  <w:rStyle w:val="InternetLink"/>
                  <w:rFonts w:ascii="Times New Roman;serif" w:hAnsi="Times New Roman;serif"/>
                  <w:b/>
                  <w:strike w:val="false"/>
                  <w:dstrike w:val="false"/>
                  <w:color w:val="000000"/>
                  <w:sz w:val="22"/>
                  <w:u w:val="none"/>
                  <w:effect w:val="none"/>
                </w:rPr>
                <w:t>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Legal prohibitions on insider trading</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0">
              <w:r>
                <w:rPr>
                  <w:rStyle w:val="InternetLink"/>
                  <w:rFonts w:ascii="Times New Roman;serif" w:hAnsi="Times New Roman;serif"/>
                  <w:b w:val="false"/>
                  <w:strike w:val="false"/>
                  <w:dstrike w:val="false"/>
                  <w:color w:val="000000"/>
                  <w:sz w:val="22"/>
                  <w:u w:val="none"/>
                  <w:effect w:val="none"/>
                </w:rPr>
                <w:t>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Detection and prosecution of insider trading</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3">
              <w:r>
                <w:rPr>
                  <w:rStyle w:val="InternetLink"/>
                  <w:rFonts w:ascii="Times New Roman;serif" w:hAnsi="Times New Roman;serif"/>
                  <w:b w:val="false"/>
                  <w:strike w:val="false"/>
                  <w:dstrike w:val="false"/>
                  <w:color w:val="000000"/>
                  <w:sz w:val="22"/>
                  <w:u w:val="none"/>
                  <w:effect w:val="none"/>
                </w:rPr>
                <w:t>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Penalties for violation of insider trading laws and this Policy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6">
              <w:r>
                <w:rPr>
                  <w:rStyle w:val="InternetLink"/>
                  <w:rFonts w:ascii="Times New Roman;serif" w:hAnsi="Times New Roman;serif"/>
                  <w:b w:val="false"/>
                  <w:strike w:val="false"/>
                  <w:dstrike w:val="false"/>
                  <w:color w:val="000000"/>
                  <w:sz w:val="22"/>
                  <w:u w:val="none"/>
                  <w:effect w:val="none"/>
                </w:rPr>
                <w:t>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Insider Trading Compliance Officer</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9">
              <w:r>
                <w:rPr>
                  <w:rStyle w:val="InternetLink"/>
                  <w:rFonts w:ascii="Times New Roman;serif" w:hAnsi="Times New Roman;serif"/>
                  <w:b w:val="false"/>
                  <w:strike w:val="false"/>
                  <w:dstrike w:val="false"/>
                  <w:color w:val="000000"/>
                  <w:sz w:val="22"/>
                  <w:u w:val="none"/>
                  <w:effect w:val="none"/>
                </w:rPr>
                <w:t>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Reporting violations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22">
              <w:r>
                <w:rPr>
                  <w:rStyle w:val="InternetLink"/>
                  <w:rFonts w:ascii="Times New Roman;serif" w:hAnsi="Times New Roman;serif"/>
                  <w:b w:val="false"/>
                  <w:strike w:val="false"/>
                  <w:dstrike w:val="false"/>
                  <w:color w:val="000000"/>
                  <w:sz w:val="22"/>
                  <w:u w:val="none"/>
                  <w:effect w:val="none"/>
                </w:rPr>
                <w:t>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Personal responsibility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25">
              <w:r>
                <w:rPr>
                  <w:rStyle w:val="InternetLink"/>
                  <w:rFonts w:ascii="Times New Roman;serif" w:hAnsi="Times New Roman;serif"/>
                  <w:b w:val="false"/>
                  <w:strike w:val="false"/>
                  <w:dstrike w:val="false"/>
                  <w:color w:val="000000"/>
                  <w:sz w:val="22"/>
                  <w:u w:val="none"/>
                  <w:effect w:val="none"/>
                </w:rPr>
                <w:t>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PERSONS AND TRANSACTIONS COVERED BY THIS POLICY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28">
              <w:r>
                <w:rPr>
                  <w:rStyle w:val="InternetLink"/>
                  <w:rFonts w:ascii="Times New Roman;serif" w:hAnsi="Times New Roman;serif"/>
                  <w:b/>
                  <w:strike w:val="false"/>
                  <w:dstrike w:val="false"/>
                  <w:color w:val="000000"/>
                  <w:sz w:val="22"/>
                  <w:u w:val="none"/>
                  <w:effect w:val="none"/>
                </w:rPr>
                <w:t>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Persons covered by this Policy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31">
              <w:r>
                <w:rPr>
                  <w:rStyle w:val="InternetLink"/>
                  <w:rFonts w:ascii="Times New Roman;serif" w:hAnsi="Times New Roman;serif"/>
                  <w:b w:val="false"/>
                  <w:strike w:val="false"/>
                  <w:dstrike w:val="false"/>
                  <w:color w:val="000000"/>
                  <w:sz w:val="22"/>
                  <w:u w:val="none"/>
                  <w:effect w:val="none"/>
                </w:rPr>
                <w:t>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Types of transactions covered by this Policy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34">
              <w:r>
                <w:rPr>
                  <w:rStyle w:val="InternetLink"/>
                  <w:rFonts w:ascii="Times New Roman;serif" w:hAnsi="Times New Roman;serif"/>
                  <w:b w:val="false"/>
                  <w:strike w:val="false"/>
                  <w:dstrike w:val="false"/>
                  <w:color w:val="000000"/>
                  <w:sz w:val="22"/>
                  <w:u w:val="none"/>
                  <w:effect w:val="none"/>
                </w:rPr>
                <w:t>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Responsibilities regarding the nonpublic information of other companies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37">
              <w:r>
                <w:rPr>
                  <w:rStyle w:val="InternetLink"/>
                  <w:rFonts w:ascii="Times New Roman;serif" w:hAnsi="Times New Roman;serif"/>
                  <w:b w:val="false"/>
                  <w:strike w:val="false"/>
                  <w:dstrike w:val="false"/>
                  <w:color w:val="000000"/>
                  <w:sz w:val="22"/>
                  <w:u w:val="none"/>
                  <w:effect w:val="none"/>
                </w:rPr>
                <w:t>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Applicability of this Policy after your departure</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40">
              <w:r>
                <w:rPr>
                  <w:rStyle w:val="InternetLink"/>
                  <w:rFonts w:ascii="Times New Roman;serif" w:hAnsi="Times New Roman;serif"/>
                  <w:b w:val="false"/>
                  <w:strike w:val="false"/>
                  <w:dstrike w:val="false"/>
                  <w:color w:val="000000"/>
                  <w:sz w:val="22"/>
                  <w:u w:val="none"/>
                  <w:effect w:val="none"/>
                </w:rPr>
                <w:t>3</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exceptions based on personal circumstances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43">
              <w:r>
                <w:rPr>
                  <w:rStyle w:val="InternetLink"/>
                  <w:rFonts w:ascii="Times New Roman;serif" w:hAnsi="Times New Roman;serif"/>
                  <w:b w:val="false"/>
                  <w:strike w:val="false"/>
                  <w:dstrike w:val="false"/>
                  <w:color w:val="000000"/>
                  <w:sz w:val="22"/>
                  <w:u w:val="none"/>
                  <w:effect w:val="none"/>
                </w:rPr>
                <w:t>4</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III.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MATERIAL NONPUBLIC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46">
              <w:r>
                <w:rPr>
                  <w:rStyle w:val="InternetLink"/>
                  <w:rFonts w:ascii="Times New Roman;serif" w:hAnsi="Times New Roman;serif"/>
                  <w:b/>
                  <w:strike w:val="false"/>
                  <w:dstrike w:val="false"/>
                  <w:color w:val="000000"/>
                  <w:sz w:val="22"/>
                  <w:u w:val="none"/>
                  <w:effect w:val="none"/>
                </w:rPr>
                <w:t>4</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Material”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49">
              <w:r>
                <w:rPr>
                  <w:rStyle w:val="InternetLink"/>
                  <w:rFonts w:ascii="Times New Roman;serif" w:hAnsi="Times New Roman;serif"/>
                  <w:b w:val="false"/>
                  <w:strike w:val="false"/>
                  <w:dstrike w:val="false"/>
                  <w:color w:val="000000"/>
                  <w:sz w:val="22"/>
                  <w:u w:val="none"/>
                  <w:effect w:val="none"/>
                </w:rPr>
                <w:t>4</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2"/>
              </w:rPr>
              <w:t>Nonpublic”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52">
              <w:r>
                <w:rPr>
                  <w:rStyle w:val="InternetLink"/>
                  <w:rFonts w:ascii="Times New Roman;serif" w:hAnsi="Times New Roman;serif"/>
                  <w:b w:val="false"/>
                  <w:strike w:val="false"/>
                  <w:dstrike w:val="false"/>
                  <w:color w:val="000000"/>
                  <w:sz w:val="22"/>
                  <w:u w:val="none"/>
                  <w:effect w:val="none"/>
                </w:rPr>
                <w:t>5</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IV.</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POLICIES REGARDING MATERIAL NONPUBLIC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55">
              <w:r>
                <w:rPr>
                  <w:rStyle w:val="InternetLink"/>
                  <w:rFonts w:ascii="Times New Roman;serif" w:hAnsi="Times New Roman;serif"/>
                  <w:b/>
                  <w:strike w:val="false"/>
                  <w:dstrike w:val="false"/>
                  <w:color w:val="000000"/>
                  <w:sz w:val="22"/>
                  <w:u w:val="none"/>
                  <w:effect w:val="none"/>
                </w:rPr>
                <w:t>5</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Confidentiality of nonpublic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58">
              <w:r>
                <w:rPr>
                  <w:rStyle w:val="InternetLink"/>
                  <w:rFonts w:ascii="Times New Roman;serif" w:hAnsi="Times New Roman;serif"/>
                  <w:b w:val="false"/>
                  <w:strike w:val="false"/>
                  <w:dstrike w:val="false"/>
                  <w:color w:val="000000"/>
                  <w:sz w:val="22"/>
                  <w:u w:val="none"/>
                  <w:effect w:val="none"/>
                </w:rPr>
                <w:t>5</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trading on material nonpublic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61">
              <w:r>
                <w:rPr>
                  <w:rStyle w:val="InternetLink"/>
                  <w:rFonts w:ascii="Times New Roman;serif" w:hAnsi="Times New Roman;serif"/>
                  <w:b w:val="false"/>
                  <w:strike w:val="false"/>
                  <w:dstrike w:val="false"/>
                  <w:color w:val="000000"/>
                  <w:sz w:val="22"/>
                  <w:u w:val="none"/>
                  <w:effect w:val="none"/>
                </w:rPr>
                <w:t>5</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disclosing material nonpublic information for the benefit of others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64">
              <w:r>
                <w:rPr>
                  <w:rStyle w:val="InternetLink"/>
                  <w:rFonts w:ascii="Times New Roman;serif" w:hAnsi="Times New Roman;serif"/>
                  <w:b w:val="false"/>
                  <w:strike w:val="false"/>
                  <w:dstrike w:val="false"/>
                  <w:color w:val="000000"/>
                  <w:sz w:val="22"/>
                  <w:u w:val="none"/>
                  <w:effect w:val="none"/>
                </w:rPr>
                <w:t>6</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Responding to outside inquiries for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67">
              <w:r>
                <w:rPr>
                  <w:rStyle w:val="InternetLink"/>
                  <w:rFonts w:ascii="Times New Roman;serif" w:hAnsi="Times New Roman;serif"/>
                  <w:b w:val="false"/>
                  <w:strike w:val="false"/>
                  <w:dstrike w:val="false"/>
                  <w:color w:val="000000"/>
                  <w:sz w:val="22"/>
                  <w:u w:val="none"/>
                  <w:effect w:val="none"/>
                </w:rPr>
                <w:t>6</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CLOSED TRADING PERIODS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70">
              <w:r>
                <w:rPr>
                  <w:rStyle w:val="InternetLink"/>
                  <w:rFonts w:ascii="Times New Roman;serif" w:hAnsi="Times New Roman;serif"/>
                  <w:b/>
                  <w:strike w:val="false"/>
                  <w:dstrike w:val="false"/>
                  <w:color w:val="000000"/>
                  <w:sz w:val="22"/>
                  <w:u w:val="none"/>
                  <w:effect w:val="none"/>
                </w:rPr>
                <w:t>6</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Quarterly closed trading periods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76">
              <w:r>
                <w:rPr>
                  <w:rStyle w:val="InternetLink"/>
                  <w:rFonts w:ascii="Times New Roman;serif" w:hAnsi="Times New Roman;serif"/>
                  <w:b w:val="false"/>
                  <w:strike w:val="false"/>
                  <w:dstrike w:val="false"/>
                  <w:color w:val="000000"/>
                  <w:sz w:val="22"/>
                  <w:u w:val="none"/>
                  <w:effect w:val="none"/>
                </w:rPr>
                <w:t>7</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Special closed trading periods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79">
              <w:r>
                <w:rPr>
                  <w:rStyle w:val="InternetLink"/>
                  <w:rFonts w:ascii="Times New Roman;serif" w:hAnsi="Times New Roman;serif"/>
                  <w:b w:val="false"/>
                  <w:strike w:val="false"/>
                  <w:dstrike w:val="false"/>
                  <w:color w:val="000000"/>
                  <w:sz w:val="22"/>
                  <w:u w:val="none"/>
                  <w:effect w:val="none"/>
                </w:rPr>
                <w:t>7</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 “safe harbors”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82">
              <w:r>
                <w:rPr>
                  <w:rStyle w:val="InternetLink"/>
                  <w:rFonts w:ascii="Times New Roman;serif" w:hAnsi="Times New Roman;serif"/>
                  <w:b w:val="false"/>
                  <w:strike w:val="false"/>
                  <w:dstrike w:val="false"/>
                  <w:color w:val="000000"/>
                  <w:sz w:val="22"/>
                  <w:u w:val="none"/>
                  <w:effect w:val="none"/>
                </w:rPr>
                <w:t>7</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PRE-CLEARANCE OF TRADES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85">
              <w:r>
                <w:rPr>
                  <w:rStyle w:val="InternetLink"/>
                  <w:rFonts w:ascii="Times New Roman;serif" w:hAnsi="Times New Roman;serif"/>
                  <w:b/>
                  <w:strike w:val="false"/>
                  <w:dstrike w:val="false"/>
                  <w:color w:val="000000"/>
                  <w:sz w:val="22"/>
                  <w:u w:val="none"/>
                  <w:effect w:val="none"/>
                </w:rPr>
                <w:t>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ADDITIONAL RESTRICTIONS AND GUIDANCE</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88">
              <w:r>
                <w:rPr>
                  <w:rStyle w:val="InternetLink"/>
                  <w:rFonts w:ascii="Times New Roman;serif" w:hAnsi="Times New Roman;serif"/>
                  <w:b/>
                  <w:strike w:val="false"/>
                  <w:dstrike w:val="false"/>
                  <w:color w:val="000000"/>
                  <w:sz w:val="22"/>
                  <w:u w:val="none"/>
                  <w:effect w:val="none"/>
                </w:rPr>
                <w:t>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Short sales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91">
              <w:r>
                <w:rPr>
                  <w:rStyle w:val="InternetLink"/>
                  <w:rFonts w:ascii="Times New Roman;serif" w:hAnsi="Times New Roman;serif"/>
                  <w:b w:val="false"/>
                  <w:strike w:val="false"/>
                  <w:dstrike w:val="false"/>
                  <w:color w:val="000000"/>
                  <w:sz w:val="22"/>
                  <w:u w:val="none"/>
                  <w:effect w:val="none"/>
                </w:rPr>
                <w:t>8</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Derivative securities and hedging transactions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94">
              <w:r>
                <w:rPr>
                  <w:rStyle w:val="InternetLink"/>
                  <w:rFonts w:ascii="Times New Roman;serif" w:hAnsi="Times New Roman;serif"/>
                  <w:b w:val="false"/>
                  <w:strike w:val="false"/>
                  <w:dstrike w:val="false"/>
                  <w:color w:val="000000"/>
                  <w:sz w:val="22"/>
                  <w:u w:val="none"/>
                  <w:effect w:val="none"/>
                </w:rPr>
                <w:t>9</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Using Company securities as collateral for loans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97">
              <w:r>
                <w:rPr>
                  <w:rStyle w:val="InternetLink"/>
                  <w:rFonts w:ascii="Times New Roman;serif" w:hAnsi="Times New Roman;serif"/>
                  <w:b w:val="false"/>
                  <w:strike w:val="false"/>
                  <w:dstrike w:val="false"/>
                  <w:color w:val="000000"/>
                  <w:sz w:val="22"/>
                  <w:u w:val="none"/>
                  <w:effect w:val="none"/>
                </w:rPr>
                <w:t>9</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Holding Company securities in margin accounts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00">
              <w:r>
                <w:rPr>
                  <w:rStyle w:val="InternetLink"/>
                  <w:rFonts w:ascii="Times New Roman;serif" w:hAnsi="Times New Roman;serif"/>
                  <w:b w:val="false"/>
                  <w:strike w:val="false"/>
                  <w:dstrike w:val="false"/>
                  <w:color w:val="000000"/>
                  <w:sz w:val="22"/>
                  <w:u w:val="none"/>
                  <w:effect w:val="none"/>
                </w:rPr>
                <w:t>9</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Placing open orders with brokers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03">
              <w:r>
                <w:rPr>
                  <w:rStyle w:val="InternetLink"/>
                  <w:rFonts w:ascii="Times New Roman;serif" w:hAnsi="Times New Roman;serif"/>
                  <w:b w:val="false"/>
                  <w:strike w:val="false"/>
                  <w:dstrike w:val="false"/>
                  <w:color w:val="000000"/>
                  <w:sz w:val="22"/>
                  <w:u w:val="none"/>
                  <w:effect w:val="none"/>
                </w:rPr>
                <w:t>10</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VIII.</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LIMITED EXCEPTIONS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06">
              <w:r>
                <w:rPr>
                  <w:rStyle w:val="InternetLink"/>
                  <w:rFonts w:ascii="Times New Roman;serif" w:hAnsi="Times New Roman;serif"/>
                  <w:b/>
                  <w:strike w:val="false"/>
                  <w:dstrike w:val="false"/>
                  <w:color w:val="000000"/>
                  <w:sz w:val="22"/>
                  <w:u w:val="none"/>
                  <w:effect w:val="none"/>
                </w:rPr>
                <w:t>10</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Transactions pursuant to a Rule 10b5-1 trading plan that complies with SEC rules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09">
              <w:r>
                <w:rPr>
                  <w:rStyle w:val="InternetLink"/>
                  <w:rFonts w:ascii="Times New Roman;serif" w:hAnsi="Times New Roman;serif"/>
                  <w:b w:val="false"/>
                  <w:strike w:val="false"/>
                  <w:dstrike w:val="false"/>
                  <w:color w:val="000000"/>
                  <w:sz w:val="22"/>
                  <w:u w:val="none"/>
                  <w:effect w:val="none"/>
                </w:rPr>
                <w:t>10</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Receipt and vesting of equity awards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12">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share withholding and sale of shares to cover tax withholdings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15">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Exercise of stock options for cash</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18">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Purchases from the employee stock purchase plan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21">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Stock splits, stock dividends and similar transactions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24">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Operation of law; Inheritance</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27">
              <w:r>
                <w:rPr>
                  <w:rStyle w:val="InternetLink"/>
                  <w:rFonts w:ascii="Times New Roman;serif" w:hAnsi="Times New Roman;serif"/>
                  <w:b w:val="false"/>
                  <w:strike w:val="false"/>
                  <w:dstrike w:val="false"/>
                  <w:color w:val="000000"/>
                  <w:sz w:val="22"/>
                  <w:u w:val="none"/>
                  <w:effect w:val="none"/>
                </w:rPr>
                <w:t>11</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 in form of ownership</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30">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exceptions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33">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IX.</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DIRECTORS AND OFFICERS - COMPLIANCE WITH SECTION 16 OF THE SECURITIES EXCHANGE ACT</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36">
              <w:r>
                <w:rPr>
                  <w:rStyle w:val="InternetLink"/>
                  <w:rFonts w:ascii="Times New Roman;serif" w:hAnsi="Times New Roman;serif"/>
                  <w:b/>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Obligations under Section 16</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39">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Notification requirements to facilitate Section 16 reporting</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42">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Personal responsibility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45">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X.</w:t>
            </w:r>
          </w:p>
        </w:tc>
        <w:tc>
          <w:tcPr>
            <w:tcW w:w="89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ADDITIONAL INFORMATION</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48">
              <w:r>
                <w:rPr>
                  <w:rStyle w:val="InternetLink"/>
                  <w:rFonts w:ascii="Times New Roman;serif" w:hAnsi="Times New Roman;serif"/>
                  <w:b/>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Availability of Policy</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51">
              <w:r>
                <w:rPr>
                  <w:rStyle w:val="InternetLink"/>
                  <w:rFonts w:ascii="Times New Roman;serif" w:hAnsi="Times New Roman;serif"/>
                  <w:b w:val="false"/>
                  <w:strike w:val="false"/>
                  <w:dstrike w:val="false"/>
                  <w:color w:val="000000"/>
                  <w:sz w:val="22"/>
                  <w:u w:val="none"/>
                  <w:effect w:val="none"/>
                </w:rPr>
                <w:t>12</w:t>
              </w:r>
            </w:hyperlink>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Amendments</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6cc3d1ac44f68be84759c0bc0d109_154">
              <w:r>
                <w:rPr>
                  <w:rStyle w:val="InternetLink"/>
                  <w:rFonts w:ascii="Times New Roman;serif" w:hAnsi="Times New Roman;serif"/>
                  <w:b w:val="false"/>
                  <w:strike w:val="false"/>
                  <w:dstrike w:val="false"/>
                  <w:color w:val="000000"/>
                  <w:sz w:val="22"/>
                  <w:u w:val="none"/>
                  <w:effect w:val="none"/>
                </w:rPr>
                <w:t>13</w:t>
              </w:r>
            </w:hyperlink>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Exhibit A    </w:t>
      </w:r>
      <w:r>
        <w:rPr>
          <w:rFonts w:ascii="Times New Roman;serif" w:hAnsi="Times New Roman;serif"/>
          <w:b w:val="false"/>
          <w:color w:val="000000"/>
          <w:sz w:val="22"/>
        </w:rPr>
        <w:t>Requirements for Trading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4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I.INTRODUCTION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Palo Alto Networks, Inc. (collectively with its subsidiaries,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opposes the unauthorized disclosure of any nonpublic information acquired in the course of your service with the Company and the misuse of material nonpublic information in securities trading. Any such actions will be deemed violations of this Insider Trading Policy (this “</w:t>
      </w:r>
      <w:r>
        <w:rPr>
          <w:rFonts w:ascii="Times New Roman;serif" w:hAnsi="Times New Roman;serif"/>
          <w:b/>
          <w:color w:val="000000"/>
          <w:sz w:val="22"/>
        </w:rPr>
        <w:t>Policy</w:t>
      </w:r>
      <w:r>
        <w:rPr>
          <w:color w:val="000000"/>
        </w:rPr>
        <w:t>”</w:t>
      </w:r>
      <w:r>
        <w:rPr>
          <w:rFonts w:ascii="Times New Roman;serif" w:hAnsi="Times New Roman;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Legal prohibitions on insider trading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antifraud provisions of U.S. federal securities laws prohibit directors, officers, employees and other individuals who possess material nonpublic information from trading on the basis of that information. Transactions will be considered “</w:t>
      </w:r>
      <w:r>
        <w:rPr>
          <w:rFonts w:ascii="Times New Roman;serif" w:hAnsi="Times New Roman;serif"/>
          <w:b w:val="false"/>
          <w:i/>
          <w:color w:val="000000"/>
          <w:sz w:val="22"/>
        </w:rPr>
        <w:t>on the basis of</w:t>
      </w:r>
      <w:r>
        <w:rPr>
          <w:color w:val="000000"/>
        </w:rPr>
        <w:t xml:space="preserve">” </w:t>
      </w:r>
      <w:r>
        <w:rPr>
          <w:rFonts w:ascii="Times New Roman;serif" w:hAnsi="Times New Roman;serif"/>
          <w:b w:val="false"/>
          <w:color w:val="000000"/>
          <w:sz w:val="22"/>
        </w:rPr>
        <w:t>material nonpublic information if the person engaged in the transaction was aware of the material nonpublic information at the time of the transaction. It is not a defense that the person did not “</w:t>
      </w:r>
      <w:r>
        <w:rPr>
          <w:rFonts w:ascii="Times New Roman;serif" w:hAnsi="Times New Roman;serif"/>
          <w:b w:val="false"/>
          <w:i/>
          <w:color w:val="000000"/>
          <w:sz w:val="22"/>
        </w:rPr>
        <w:t>use</w:t>
      </w:r>
      <w:r>
        <w:rPr>
          <w:color w:val="000000"/>
        </w:rPr>
        <w:t xml:space="preserve">” </w:t>
      </w:r>
      <w:r>
        <w:rPr>
          <w:rFonts w:ascii="Times New Roman;serif" w:hAnsi="Times New Roman;serif"/>
          <w:b w:val="false"/>
          <w:color w:val="000000"/>
          <w:sz w:val="22"/>
        </w:rPr>
        <w:t>the information for purposes of the transaction.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Disclosing material nonpublic information directly or indirectly to others, who then trade based on that information, or making recommendations or expressing opinions as to transactions in securities while aware of material nonpublic information (which is sometimes referred to as “</w:t>
      </w:r>
      <w:r>
        <w:rPr>
          <w:rFonts w:ascii="Times New Roman;serif" w:hAnsi="Times New Roman;serif"/>
          <w:b/>
          <w:color w:val="000000"/>
          <w:sz w:val="22"/>
        </w:rPr>
        <w:t>tipping</w:t>
      </w:r>
      <w:r>
        <w:rPr>
          <w:color w:val="000000"/>
        </w:rPr>
        <w:t>”</w:t>
      </w:r>
      <w:r>
        <w:rPr>
          <w:rFonts w:ascii="Times New Roman;serif" w:hAnsi="Times New Roman;serif"/>
          <w:b w:val="false"/>
          <w:color w:val="000000"/>
          <w:sz w:val="22"/>
        </w:rPr>
        <w:t>) is also illegal. Both the person who provides the information, recommendation or opinion and the person who trades based on it may be liable.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These illegal activities are commonly referred to as “</w:t>
      </w:r>
      <w:r>
        <w:rPr>
          <w:rFonts w:ascii="Times New Roman;serif" w:hAnsi="Times New Roman;serif"/>
          <w:b/>
          <w:color w:val="000000"/>
          <w:sz w:val="22"/>
        </w:rPr>
        <w:t>insider trading</w:t>
      </w:r>
      <w:r>
        <w:rPr>
          <w:rFonts w:ascii="Times New Roman;serif" w:hAnsi="Times New Roman;serif"/>
          <w:b w:val="false"/>
          <w:color w:val="000000"/>
          <w:sz w:val="22"/>
        </w:rPr>
        <w:t>.” State securities laws and securities laws of other jurisdictions also impose restrictions on insider trading.</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Detection and prosecution of insider trading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U.S.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the Financial Industry Regulatory Authority and the Nasdaq Stock Market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Penalties for violation of insider trading laws and this Policy</w:t>
      </w:r>
    </w:p>
    <w:p>
      <w:pPr>
        <w:pStyle w:val="TextBody"/>
        <w:bidi w:val="0"/>
        <w:spacing w:lineRule="auto" w:line="288" w:before="240" w:after="283"/>
        <w:ind w:left="0" w:right="0" w:firstLine="720"/>
        <w:jc w:val="both"/>
        <w:rPr/>
      </w:pPr>
      <w:r>
        <w:rPr>
          <w:rFonts w:ascii="Times New Roman;serif" w:hAnsi="Times New Roman;serif"/>
          <w:b w:val="false"/>
          <w:i/>
          <w:color w:val="000000"/>
          <w:sz w:val="22"/>
        </w:rPr>
        <w:t>Civil and criminal penalties.</w:t>
      </w:r>
      <w:r>
        <w:rPr>
          <w:color w:val="000000"/>
        </w:rPr>
        <w:t xml:space="preserve"> </w:t>
      </w:r>
      <w:r>
        <w:rPr>
          <w:rFonts w:ascii="Times New Roman;serif" w:hAnsi="Times New Roman;serif"/>
          <w:b w:val="false"/>
          <w:color w:val="000000"/>
          <w:sz w:val="22"/>
        </w:rPr>
        <w:t>As of the effective date of this Policy, potential penalties for insider trading violations under U.S. federal securities laws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damages in a private lawsuit;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disgorging any profits made or losses avoided;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imprisonment for up to 20 years;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criminal fines of up to $5 million for individuals and $25 million for entities;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civil fines of up to three times the profit gained or loss avoided;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a bar against serving as an officer or director of a public company;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2"/>
        </w:rPr>
        <w:t>an injunction against future violations.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1"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Civil and criminal penalties also apply to tipping. The SEC has imposed large penalties in tipping cases even when the disclosing person did not trade or gain any benefit from another person’s trading.</w:t>
      </w:r>
    </w:p>
    <w:p>
      <w:pPr>
        <w:pStyle w:val="TextBody"/>
        <w:bidi w:val="0"/>
        <w:spacing w:lineRule="auto" w:line="288" w:before="180" w:after="283"/>
        <w:ind w:left="0" w:right="0" w:firstLine="720"/>
        <w:jc w:val="both"/>
        <w:rPr/>
      </w:pPr>
      <w:r>
        <w:rPr>
          <w:rFonts w:ascii="Times New Roman;serif" w:hAnsi="Times New Roman;serif"/>
          <w:b w:val="false"/>
          <w:i/>
          <w:color w:val="000000"/>
          <w:sz w:val="22"/>
        </w:rPr>
        <w:t>Company disciplinary actions.</w:t>
      </w:r>
      <w:r>
        <w:rPr>
          <w:color w:val="000000"/>
        </w:rPr>
        <w:t xml:space="preserve"> </w:t>
      </w:r>
      <w:r>
        <w:rPr>
          <w:rFonts w:ascii="Times New Roman;serif" w:hAnsi="Times New Roman;serif"/>
          <w:b w:val="false"/>
          <w:color w:val="000000"/>
          <w:sz w:val="22"/>
        </w:rPr>
        <w:t xml:space="preserve">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or otherwise in accordance with local law. </w:t>
      </w:r>
    </w:p>
    <w:p>
      <w:pPr>
        <w:pStyle w:val="TextBody"/>
        <w:bidi w:val="0"/>
        <w:spacing w:lineRule="auto" w:line="288" w:before="18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It is not necessary for the Company to wait for the filing or conclusion of any civil or criminal action against an alleged violator before taking disciplinary action. In addition, to the extent permitted by applicable law, the Company may give stop transfer and other instructions to the Company’s transfer agent to enforce compliance with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Insider Trading Compliance Officer</w:t>
      </w:r>
    </w:p>
    <w:p>
      <w:pPr>
        <w:pStyle w:val="TextBody"/>
        <w:bidi w:val="0"/>
        <w:spacing w:lineRule="auto" w:line="288" w:before="180" w:after="283"/>
        <w:ind w:left="0" w:right="0" w:firstLine="720"/>
        <w:jc w:val="both"/>
        <w:rPr/>
      </w:pPr>
      <w:r>
        <w:rPr>
          <w:rFonts w:ascii="Times New Roman;serif" w:hAnsi="Times New Roman;serif"/>
          <w:b w:val="false"/>
          <w:color w:val="000000"/>
          <w:sz w:val="22"/>
        </w:rPr>
        <w:t>Please direct any questions, requests or reports as to any of the matters discussed in this Policy to the Company’s Insider Trading Compliance Officer (the “</w:t>
      </w:r>
      <w:r>
        <w:rPr>
          <w:rFonts w:ascii="Times New Roman;serif" w:hAnsi="Times New Roman;serif"/>
          <w:b/>
          <w:color w:val="000000"/>
          <w:sz w:val="22"/>
        </w:rPr>
        <w:t>Compliance Officer</w:t>
      </w:r>
      <w:r>
        <w:rPr>
          <w:color w:val="000000"/>
        </w:rPr>
        <w:t>”</w:t>
      </w:r>
      <w:r>
        <w:rPr>
          <w:rFonts w:ascii="Times New Roman;serif" w:hAnsi="Times New Roman;serif"/>
          <w:b w:val="false"/>
          <w:color w:val="000000"/>
          <w:sz w:val="22"/>
        </w:rPr>
        <w:t>), who is the Company’s General Counsel. The Compliance Officer is generally responsible for the administration of this Policy. The Compliance Officer may, from time to time, delegate to others the execution of his or her duties (including, without limitation, the pre-clearance of trades) and the actions of such delegate shall be deemed to be the actions of the Compliance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Reporting violations</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or otherwise permitted by law. You may report violations or suspected violations of this Policy via our third-party hosted confidential website at www.paloaltonetworks.ethicspoint.com, or by calling 1-855-266-7042 in the United States or, for employees outside the United States, at the phone numbers listed at www.paloaltonetworks.ethicspoint.com. If you wish to remain anonymous, you may send a letter addressed to the Insider Trading Compliance Officer at Palo Alto Networks, Inc., 3000 Tannery Way, Santa Clara, CA, 95054. If you make an anonymous report, please provide as much detail as possible, including any evidence that you believe may be relevant to the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Personal responsibility</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ultimate responsibility for complying with this Policy and applicable laws and regulations rests with you. You should use your best judgment at all times and consult with your personal legal and financial advisors, as needed. We advise you to seek assistance if you have any questions at all. The rules relating to insider trading can be complex, and a violation of insider trading laws can carry severe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2"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II.PERSONS AND TRANSACTIONS COVERED BY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Persons covered by this Policy</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applies to all directors, officers, employees, consultants, contractors, or advisors of the Company. References in this Policy to “you” (as well as general references to directors, officers, employees, consultants, contractors, or advisors of the Company) should also be understood to include members of your immediate family (which means, for the purposes of this Policy, persons with whom you share a household and persons that are your economic dependents) and any other individuals or entities whose transactions in securities you influence, direct or control (including, for example, an investment fund, if you influence, direct or control transactions by the fund). You are responsible for making sure that these other individuals and entities comply with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Types of transactions covered by this Policy</w:t>
      </w:r>
    </w:p>
    <w:p>
      <w:pPr>
        <w:pStyle w:val="TextBody"/>
        <w:bidi w:val="0"/>
        <w:spacing w:lineRule="auto" w:line="288" w:before="220" w:after="283"/>
        <w:ind w:left="0" w:right="0" w:firstLine="720"/>
        <w:jc w:val="both"/>
        <w:rPr/>
      </w:pPr>
      <w:r>
        <w:rPr>
          <w:rFonts w:ascii="Times New Roman;serif" w:hAnsi="Times New Roman;serif"/>
          <w:b w:val="false"/>
          <w:color w:val="000000"/>
          <w:sz w:val="22"/>
        </w:rPr>
        <w:t>Except as discussed in the section entitled “</w:t>
      </w:r>
      <w:r>
        <w:rPr>
          <w:rFonts w:ascii="Times New Roman;serif" w:hAnsi="Times New Roman;serif"/>
          <w:b/>
          <w:color w:val="000000"/>
          <w:sz w:val="22"/>
        </w:rPr>
        <w:t>Limited Exceptions</w:t>
      </w:r>
      <w:r>
        <w:rPr>
          <w:rFonts w:ascii="Times New Roman;serif" w:hAnsi="Times New Roman;serif"/>
          <w:b w:val="false"/>
          <w:color w:val="000000"/>
          <w:sz w:val="22"/>
        </w:rPr>
        <w:t xml:space="preserve">,” this Policy applies to </w:t>
      </w:r>
      <w:r>
        <w:rPr>
          <w:rFonts w:ascii="Times New Roman;serif" w:hAnsi="Times New Roman;serif"/>
          <w:b/>
          <w:color w:val="000000"/>
          <w:sz w:val="22"/>
          <w:u w:val="single"/>
        </w:rPr>
        <w:t xml:space="preserve">all transactions involving the securities of the Company or the securities of other companies </w:t>
      </w:r>
      <w:r>
        <w:rPr>
          <w:rFonts w:ascii="Times New Roman;serif" w:hAnsi="Times New Roman;serif"/>
          <w:b w:val="false"/>
          <w:color w:val="000000"/>
          <w:sz w:val="22"/>
        </w:rPr>
        <w:t>as to which you possess material nonpublic information obtained in the course of your service with the Company. This Policy therefore applies to purchases, sales, gifts and other transfers of common stock, options, warrants, preferred stock, debt securities (such as debentures, bonds and notes) and other securities. This Policy also applies to any arrangements that affect economic exposure to changes in the prices of these securities. These arrangements may include, among other things, transactions in derivative securities (such as exchange-traded put or call options, swaps, caps and collars), hedging transactions, short sales and certain decisions with respect to participation in benefit plans. In addition, this Policy applies to pledging securities as collateral for loans. This Policy also applies to any offers with respect to the transactions discussed above. You should note that there are no exceptions from insider trading laws or this Policy based on the size of the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Responsibilities regarding the nonpublic information of other companies</w:t>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Policy prohibits the unauthorized disclosure or other misuse of any nonpublic information of other companies (including, without limitation, the Company’s distributors, vendors, customers, collaborators, partners, suppliers and competitors) that you learn through your service with the Company. If you learn of material nonpublic information through your service with the Company that could be expected to affect the trading price of the securities of another company, you cannot (i) use that information to trade, directly or indirectly through others, or (ii) provide that information to another person to trade, in either case, in the securities of that other company. Any such action will constitute a violation of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Applicability of this Policy after your departure</w:t>
      </w:r>
    </w:p>
    <w:p>
      <w:pPr>
        <w:pStyle w:val="TextBody"/>
        <w:bidi w:val="0"/>
        <w:spacing w:lineRule="auto" w:line="288" w:before="220" w:after="283"/>
        <w:ind w:left="0" w:right="0" w:firstLine="720"/>
        <w:jc w:val="both"/>
        <w:rPr/>
      </w:pPr>
      <w:r>
        <w:rPr>
          <w:rFonts w:ascii="Times New Roman;serif" w:hAnsi="Times New Roman;serif"/>
          <w:b w:val="false"/>
          <w:color w:val="000000"/>
          <w:sz w:val="22"/>
        </w:rPr>
        <w:t xml:space="preserve">You are expected to comply with this Policy until such time as you are no longer affiliated with the Company </w:t>
      </w:r>
      <w:r>
        <w:rPr>
          <w:rFonts w:ascii="Times New Roman;serif" w:hAnsi="Times New Roman;serif"/>
          <w:b w:val="false"/>
          <w:i/>
          <w:color w:val="000000"/>
          <w:sz w:val="22"/>
        </w:rPr>
        <w:t>and</w:t>
      </w:r>
      <w:r>
        <w:rPr>
          <w:color w:val="000000"/>
        </w:rPr>
        <w:t xml:space="preserve"> </w:t>
      </w:r>
      <w:r>
        <w:rPr>
          <w:rFonts w:ascii="Times New Roman;serif" w:hAnsi="Times New Roman;serif"/>
          <w:b w:val="false"/>
          <w:color w:val="000000"/>
          <w:sz w:val="22"/>
        </w:rPr>
        <w:t>you no longer possess any material nonpublic information subject to this Policy. In addition, if you are subject to a closed trading period under this Policy at the time you cease to be affiliated with the Company, you are expected to abide by the applicable trading restrictions until at least the end of the relevant closed trading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3"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 exceptions based on personal circumstances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There may be instances where you suffer financial harm or other hardship or are otherwise required to forego a planned transaction because of the restrictions imposed by this Policy. Personal financial emergencies or other personal circumstances are not mitigating factors under securities laws or this Policy and will not excuse a failure to comply with this Policy.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III.MATERIAL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color w:val="000000"/>
        </w:rPr>
      </w:pPr>
      <w:r>
        <w:rPr>
          <w:color w:val="000000"/>
        </w:rPr>
        <w:t>“</w:t>
      </w:r>
      <w:r>
        <w:rPr>
          <w:rFonts w:ascii="Times New Roman;serif" w:hAnsi="Times New Roman;serif"/>
          <w:b/>
          <w:color w:val="000000"/>
          <w:sz w:val="22"/>
        </w:rPr>
        <w:t>Material” information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Some common examples of information that could be regarded as material, include information with respect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Financial results, financial condition, earnings pre-announcements, guidance, projections or forecasts;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Restatements of financial results, or material impairments, write-offs or restructurings;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Changes in independent auditors, or notification that the Company may no longer rely on an audit report;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Business plans or budgets;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business trends or Company metrics;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Creation of significant financial obligations, or any significant default under or acceleration of any financial obligation;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developments involving business relationships, including, without limitation, execution, modification or termination of significant agreements or orders with customers, suppliers, distributors, manufacturers or other business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Significant cybersecurity breaches of the Company’s network;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Product introductions, modifications, defects or recalls or significant pricing changes or other product announcements of a significant nature;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developments in products or services, research and development or relating to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Significant litigation, legal, regulatory developments or government investigations, whether actual or threatened;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Major events involving the Company’s securities, including, without limitation, calls of securities for redemption, adoption of stock repurchase programs, stock splits, public or private securities offerings, modification to the rights of security holders or notice of delisting;</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4"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 xml:space="preserve">Significant corporate events, such as a pending or proposed merger, joint venture or tender offer, a significant investment, the acquisition or disposition of a significant business or asset or a change in control of the company;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existence of a special closed trading period;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Changes in the Company’s Board of Directors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or significant personnel changes, such as changes in senior management or lay-offs.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color w:val="000000"/>
        </w:rPr>
      </w:pPr>
      <w:r>
        <w:rPr>
          <w:color w:val="000000"/>
        </w:rPr>
        <w:t>“</w:t>
      </w:r>
      <w:r>
        <w:rPr>
          <w:rFonts w:ascii="Times New Roman;serif" w:hAnsi="Times New Roman;serif"/>
          <w:b/>
          <w:color w:val="000000"/>
          <w:sz w:val="22"/>
        </w:rPr>
        <w:t>Nonpublic”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Information is considered nonpublic if the information has not been broadly disseminated to the public for a sufficient period to be reflected in the price of the security. As a general rule, information should be considered nonpublic until at least one </w:t>
      </w:r>
      <w:r>
        <w:rPr>
          <w:rFonts w:ascii="Times New Roman;serif" w:hAnsi="Times New Roman;serif"/>
          <w:b w:val="false"/>
          <w:i/>
          <w:color w:val="000000"/>
          <w:sz w:val="22"/>
        </w:rPr>
        <w:t>full trading day</w:t>
      </w:r>
      <w:r>
        <w:rPr>
          <w:color w:val="000000"/>
        </w:rPr>
        <w:t xml:space="preserve"> </w:t>
      </w:r>
      <w:r>
        <w:rPr>
          <w:rFonts w:ascii="Times New Roman;serif" w:hAnsi="Times New Roman;serif"/>
          <w:b w:val="false"/>
          <w:color w:val="000000"/>
          <w:sz w:val="22"/>
        </w:rPr>
        <w:t>(see definition below) has elapsed after the information is broadly disseminated to the public in a press release, a public filing with the SEC, a pre-announced public webcast or another broad, non-exclusionary form of public communication. However, depending on the form of the announcement and the nature of the information, it is possible that information may not be fully absorbed by the marketplace until a later time. Any questions as to whether information is nonpublic should be directed to the Compliance Officer.</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term “</w:t>
      </w:r>
      <w:r>
        <w:rPr>
          <w:rFonts w:ascii="Times New Roman;serif" w:hAnsi="Times New Roman;serif"/>
          <w:b/>
          <w:color w:val="000000"/>
          <w:sz w:val="22"/>
        </w:rPr>
        <w:t>trading day</w:t>
      </w:r>
      <w:r>
        <w:rPr>
          <w:color w:val="000000"/>
        </w:rPr>
        <w:t xml:space="preserve">” </w:t>
      </w:r>
      <w:r>
        <w:rPr>
          <w:rFonts w:ascii="Times New Roman;serif" w:hAnsi="Times New Roman;serif"/>
          <w:b w:val="false"/>
          <w:color w:val="000000"/>
          <w:sz w:val="22"/>
        </w:rPr>
        <w:t>means a day on which national stock exchanges are open for trading. A “</w:t>
      </w:r>
      <w:r>
        <w:rPr>
          <w:rFonts w:ascii="Times New Roman;serif" w:hAnsi="Times New Roman;serif"/>
          <w:b/>
          <w:color w:val="000000"/>
          <w:sz w:val="22"/>
        </w:rPr>
        <w:t>full</w:t>
      </w:r>
      <w:r>
        <w:rPr>
          <w:color w:val="000000"/>
        </w:rPr>
        <w:t xml:space="preserve">” </w:t>
      </w:r>
      <w:r>
        <w:rPr>
          <w:rFonts w:ascii="Times New Roman;serif" w:hAnsi="Times New Roman;serif"/>
          <w:b w:val="false"/>
          <w:color w:val="000000"/>
          <w:sz w:val="22"/>
        </w:rPr>
        <w:t xml:space="preserve">trading day has elapsed when, after the public disclosure, trading in the relevant security has opened and then closed. </w:t>
      </w:r>
    </w:p>
    <w:p>
      <w:pPr>
        <w:pStyle w:val="TextBody"/>
        <w:bidi w:val="0"/>
        <w:spacing w:lineRule="auto" w:line="288" w:before="240" w:after="240"/>
        <w:ind w:left="0" w:right="0" w:firstLine="720"/>
        <w:jc w:val="both"/>
        <w:rPr/>
      </w:pPr>
      <w:r>
        <w:rPr>
          <w:rFonts w:ascii="Times New Roman;serif" w:hAnsi="Times New Roman;serif"/>
          <w:b w:val="false"/>
          <w:i/>
          <w:color w:val="000000"/>
          <w:sz w:val="22"/>
        </w:rPr>
        <w:t>For example</w:t>
      </w:r>
      <w:r>
        <w:rPr>
          <w:rFonts w:ascii="Times New Roman;serif" w:hAnsi="Times New Roman;serif"/>
          <w:b w:val="false"/>
          <w:color w:val="000000"/>
          <w:sz w:val="22"/>
        </w:rPr>
        <w:t>, in general, if the Company issues its earnings release on a Wednesday afternoon, then Thursday would be the next full trading day, and you would not be able to trade in the Company’s securities again until that Friday.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IV.POLICIES REGARDING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Confidentiality of nonpublic information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unauthorized use or disclosure of nonpublic information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the use of any such nonpublic information should be limited to the purpose for which it was disclosed. You must use all reasonable efforts to safeguard nonpublic information in the Company’s possession.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 trading on material nonpublic information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Except as discussed in the section entitled “</w:t>
      </w:r>
      <w:r>
        <w:rPr>
          <w:rFonts w:ascii="Times New Roman;serif" w:hAnsi="Times New Roman;serif"/>
          <w:b/>
          <w:color w:val="000000"/>
          <w:sz w:val="22"/>
        </w:rPr>
        <w:t>Limited Exceptions</w:t>
      </w:r>
      <w:r>
        <w:rPr>
          <w:color w:val="000000"/>
        </w:rPr>
        <w:t xml:space="preserve">” </w:t>
      </w:r>
      <w:r>
        <w:rPr>
          <w:rFonts w:ascii="Times New Roman;serif" w:hAnsi="Times New Roman;serif"/>
          <w:b w:val="false"/>
          <w:color w:val="000000"/>
          <w:sz w:val="22"/>
        </w:rPr>
        <w:t xml:space="preserve">below, you may not, directly or indirectly through others, engage in any transaction involving the Company’s securities </w:t>
      </w:r>
      <w:r>
        <w:rPr>
          <w:rFonts w:ascii="Times New Roman;serif" w:hAnsi="Times New Roman;serif"/>
          <w:b w:val="false"/>
          <w:i/>
          <w:color w:val="000000"/>
          <w:sz w:val="22"/>
        </w:rPr>
        <w:t>while aware of</w:t>
      </w:r>
      <w:r>
        <w:rPr>
          <w:color w:val="000000"/>
        </w:rPr>
        <w:t xml:space="preserve"> </w:t>
      </w:r>
      <w:r>
        <w:rPr>
          <w:rFonts w:ascii="Times New Roman;serif" w:hAnsi="Times New Roman;serif"/>
          <w:b w:val="false"/>
          <w:color w:val="000000"/>
          <w:sz w:val="22"/>
        </w:rPr>
        <w:t>material nonpublic information relating to the Company. It is not an excuse that you did not “use” the information in your transaction.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5"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2"/>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serif" w:hAnsi="Times New Roman;serif"/>
          <w:b/>
          <w:color w:val="000000"/>
          <w:sz w:val="22"/>
        </w:rPr>
        <w:t>Limited Exceptions</w:t>
      </w:r>
      <w:r>
        <w:rPr>
          <w:color w:val="000000"/>
        </w:rPr>
        <w:t xml:space="preserve">” </w:t>
      </w:r>
      <w:r>
        <w:rPr>
          <w:rFonts w:ascii="Times New Roman;serif" w:hAnsi="Times New Roman;serif"/>
          <w:b w:val="false"/>
          <w:color w:val="000000"/>
          <w:sz w:val="22"/>
        </w:rPr>
        <w:t>below).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 disclosing material nonpublic information for the benefit of others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You may not disclose material nonpublic information concerning the Company or any other company to friends, family members or any other person or entity not authorized to receive such information, including, without limitation,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media, social media, blogs, investor forums, or chat rooms discussing companies and their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Responding to outside inquiries for information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you receive an inquiry from someone outside of the Company, such as a stock analyst, for information, you should refer the inquiry to the Company’s Chief Financial Officer or Investor Relations Department at ir@paloaltonetworks.com.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V.CLOSED TRADING PERIODS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 limit the likelihood of trading at times when there is a significant risk of insider trading exposure, the Company has instituted quarterly closed trading periods and may also institute special closed trading periods from time to time.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 is important to note that whether or not you are subject to a closed trading period, you remain subject to the prohibitions on trading on the basis of material nonpublic information and any other applicable restrictions in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6"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Quarterly closed trading periods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Except as discussed in the section entitled “</w:t>
      </w:r>
      <w:r>
        <w:rPr>
          <w:rFonts w:ascii="Times New Roman;serif" w:hAnsi="Times New Roman;serif"/>
          <w:b/>
          <w:color w:val="000000"/>
          <w:sz w:val="22"/>
        </w:rPr>
        <w:t>Limited Exceptions</w:t>
      </w:r>
      <w:r>
        <w:rPr>
          <w:color w:val="000000"/>
        </w:rPr>
        <w:t xml:space="preserve">” </w:t>
      </w:r>
      <w:r>
        <w:rPr>
          <w:rFonts w:ascii="Times New Roman;serif" w:hAnsi="Times New Roman;serif"/>
          <w:b w:val="false"/>
          <w:color w:val="000000"/>
          <w:sz w:val="22"/>
        </w:rPr>
        <w:t>below, all directors, officers, and other employees (and consultants, contractors, or advisors identified by the Company from time to time) will be subject to a quarterly trading window.</w:t>
      </w:r>
      <w:r>
        <w:rPr>
          <w:color w:val="000000"/>
        </w:rPr>
        <w:t xml:space="preserve"> </w:t>
      </w:r>
      <w:r>
        <w:rPr>
          <w:rFonts w:ascii="Times New Roman;serif" w:hAnsi="Times New Roman;serif"/>
          <w:b/>
          <w:color w:val="000000"/>
          <w:sz w:val="22"/>
        </w:rPr>
        <w:t>The quarterly closed trading period</w:t>
      </w:r>
      <w:r>
        <w:rPr>
          <w:color w:val="000000"/>
        </w:rPr>
        <w:t xml:space="preserve"> </w:t>
      </w:r>
      <w:r>
        <w:rPr>
          <w:rFonts w:ascii="Times New Roman;serif" w:hAnsi="Times New Roman;serif"/>
          <w:b/>
          <w:color w:val="000000"/>
          <w:sz w:val="22"/>
        </w:rPr>
        <w:t>begins at the close of trading on Nasdaq on the second Monday of the last month of each fiscal quarter and ends at the start of trading on Nasdaq on the second full trading day following the date of public disclosure of the Company’s financial results for that fiscal quarter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This period is a particularly sensitive time for transactions involving the Company’s securities for purposes of compliance with applicable securities laws due to the fact that, during this period, individuals may often possess or have access to material nonpublic information relevant to the expected financial results for the relevant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Special closed trading periods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From time to time, the Company may also prohibit any or all directors, officers, and employees, and consultants, contractors, and advisors identified by the Company from time to time) from engaging in transactions involving the Company’s securities when, in the judgment of the Compliance Officer, a closed trading period is warranted. The Company will generally impose special closed trading periods when there are material developments known to the Company that have not yet been disclosed to the public. </w:t>
      </w:r>
      <w:r>
        <w:rPr>
          <w:rFonts w:ascii="Times New Roman;serif" w:hAnsi="Times New Roman;serif"/>
          <w:b w:val="false"/>
          <w:i/>
          <w:color w:val="000000"/>
          <w:sz w:val="22"/>
        </w:rPr>
        <w:t>For example</w:t>
      </w:r>
      <w:r>
        <w:rPr>
          <w:rFonts w:ascii="Times New Roman;serif" w:hAnsi="Times New Roman;serif"/>
          <w:b w:val="false"/>
          <w:color w:val="000000"/>
          <w:sz w:val="22"/>
        </w:rPr>
        <w:t>, the Company may impose a special closed trading period in anticipation of announcing interim earnings guidance or a significant transaction, business development, or corporate development. However, special closed trading periods may be declared for any reason.</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The Compliance Officer or his or her delegate will notify those persons subject to a special closed trading period. Each person who has been so identified and notified by the Company may </w:t>
      </w:r>
      <w:r>
        <w:rPr>
          <w:rFonts w:ascii="Times New Roman;serif" w:hAnsi="Times New Roman;serif"/>
          <w:b w:val="false"/>
          <w:color w:val="000000"/>
          <w:sz w:val="22"/>
          <w:u w:val="single"/>
        </w:rPr>
        <w:t>not</w:t>
      </w:r>
      <w:r>
        <w:rPr>
          <w:color w:val="000000"/>
        </w:rPr>
        <w:t xml:space="preserve"> </w:t>
      </w:r>
      <w:r>
        <w:rPr>
          <w:rFonts w:ascii="Times New Roman;serif" w:hAnsi="Times New Roman;serif"/>
          <w:b w:val="false"/>
          <w:color w:val="000000"/>
          <w:sz w:val="22"/>
        </w:rPr>
        <w:t xml:space="preserve">engage in any transaction involving the Company’s securities until instructed otherwise by the Compliance Officer or his or her delegate, nor may the person disclose to other persons that he or she is subject to a special closed trading period or otherwise restricted from trading in the Company’s securities. </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order to monitor your compliance with this Policy, the Company may restrict the transfer of your shares of the Company’s common stock from the Company’s third party equity trading platform and/or the Company’s transfer agent (including, without limitation, by instituting stop transfer instructions on your shares or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 “safe harbors”</w:t>
      </w:r>
    </w:p>
    <w:p>
      <w:pPr>
        <w:pStyle w:val="TextBody"/>
        <w:bidi w:val="0"/>
        <w:spacing w:lineRule="auto" w:line="288" w:before="18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are no unconditional “safe harbors” for trades made at particular times, and all persons subject to this Policy should exercise good judgment at all times. Even when a closed trading period is not in effect, you may be prohibited from engaging in transactions involving the Company’s securities because you possess material nonpublic information, are subject to a special closed trading period or are otherwise restricted under this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7"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VI.PRE-CLEARANCE OF TRADES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Except as discussed in the section entitled “</w:t>
      </w:r>
      <w:r>
        <w:rPr>
          <w:rFonts w:ascii="Times New Roman;serif" w:hAnsi="Times New Roman;serif"/>
          <w:b/>
          <w:color w:val="000000"/>
          <w:sz w:val="22"/>
        </w:rPr>
        <w:t>Limited Exceptions</w:t>
      </w:r>
      <w:r>
        <w:rPr>
          <w:color w:val="000000"/>
        </w:rPr>
        <w:t xml:space="preserve">” </w:t>
      </w:r>
      <w:r>
        <w:rPr>
          <w:rFonts w:ascii="Times New Roman;serif" w:hAnsi="Times New Roman;serif"/>
          <w:b w:val="false"/>
          <w:color w:val="000000"/>
          <w:sz w:val="22"/>
        </w:rPr>
        <w:t>below, directors and certain officers should refrain from engaging in any transaction involving the Company’s securities without first obtaining pre</w:t>
      </w:r>
      <w:r>
        <w:rPr>
          <w:rFonts w:ascii="Times New Roman;serif" w:hAnsi="Times New Roman;serif"/>
          <w:b/>
          <w:color w:val="000000"/>
          <w:sz w:val="22"/>
        </w:rPr>
        <w:t>-</w:t>
      </w:r>
      <w:r>
        <w:rPr>
          <w:rFonts w:ascii="Times New Roman;serif" w:hAnsi="Times New Roman;serif"/>
          <w:b w:val="false"/>
          <w:color w:val="000000"/>
          <w:sz w:val="22"/>
        </w:rPr>
        <w:t>clearance of the transaction from the Compliance Officer. The Compliance Officer may not engage in a transaction involving the Company’s securities unless the Company’s Chief Executive Officer or Chief Financial Officer or any of their respective delegates has pre-cleared the transaction. In addition, the Company has determined that certain other employees (and consultants, contractors, or advisors) of the Company that may have regular or special access to material nonpublic information should refrain from engaging in any transaction involving the Company’s securities without first obtaining pre</w:t>
      </w:r>
      <w:r>
        <w:rPr>
          <w:rFonts w:ascii="Times New Roman;serif" w:hAnsi="Times New Roman;serif"/>
          <w:b/>
          <w:color w:val="000000"/>
          <w:sz w:val="22"/>
        </w:rPr>
        <w:t>-</w:t>
      </w:r>
      <w:r>
        <w:rPr>
          <w:rFonts w:ascii="Times New Roman;serif" w:hAnsi="Times New Roman;serif"/>
          <w:b w:val="false"/>
          <w:color w:val="000000"/>
          <w:sz w:val="22"/>
        </w:rPr>
        <w:t>clearance of the transaction from the Compliance Officer. Individuals subject to pre</w:t>
      </w:r>
      <w:r>
        <w:rPr>
          <w:rFonts w:ascii="Times New Roman;serif" w:hAnsi="Times New Roman;serif"/>
          <w:b/>
          <w:color w:val="000000"/>
          <w:sz w:val="22"/>
        </w:rPr>
        <w:t>-</w:t>
      </w:r>
      <w:r>
        <w:rPr>
          <w:rFonts w:ascii="Times New Roman;serif" w:hAnsi="Times New Roman;serif"/>
          <w:b w:val="false"/>
          <w:color w:val="000000"/>
          <w:sz w:val="22"/>
        </w:rPr>
        <w:t>clearance requirements will be informed by the Company that they are on the list maintained by the Compliance Officer for personnel subject to such pre-clearance requirements, which list may be updated and revised from time to time for other persons who the Company or Compliance Officer determines should be subject to the pre</w:t>
      </w:r>
      <w:r>
        <w:rPr>
          <w:rFonts w:ascii="Times New Roman;serif" w:hAnsi="Times New Roman;serif"/>
          <w:b/>
          <w:color w:val="000000"/>
          <w:sz w:val="22"/>
        </w:rPr>
        <w:t>-</w:t>
      </w:r>
      <w:r>
        <w:rPr>
          <w:rFonts w:ascii="Times New Roman;serif" w:hAnsi="Times New Roman;serif"/>
          <w:b w:val="false"/>
          <w:color w:val="000000"/>
          <w:sz w:val="22"/>
        </w:rPr>
        <w:t>clearance requirements.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These pre-clearance procedures are intended to decrease insider trading risks associated with transactions by individuals who have regular or special access to material nonpublic information. In addition, requiring pre-clearance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xml:space="preserve">). Pre-clearance of a trade, however, is not a defense to a claim of insider trading and does not excuse you from otherwise complying with insider trading laws or this Policy. Further, pre-clearance of a transaction does not constitute an affirmation by the Company or the Compliance Officer that you are not in possession of material nonpublic information. </w:t>
      </w:r>
    </w:p>
    <w:p>
      <w:pPr>
        <w:pStyle w:val="TextBody"/>
        <w:bidi w:val="0"/>
        <w:spacing w:lineRule="auto" w:line="288" w:before="18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Compliance Officer is under no obligation to approve a transaction submitted for pre-clearance and may determine not to permit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VII.ADDITIONAL RESTRICTIONS AND GUIDANCE</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closed trading periods, to the extent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Short sales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Short sales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the sale of a security that must be borrowed to make delivery) and “selling short against the box”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8"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Derivative securities and hedging transactions</w:t>
      </w:r>
    </w:p>
    <w:p>
      <w:pPr>
        <w:pStyle w:val="TextBody"/>
        <w:bidi w:val="0"/>
        <w:spacing w:lineRule="auto" w:line="288" w:before="180" w:after="283"/>
        <w:ind w:left="0" w:right="0" w:firstLine="720"/>
        <w:jc w:val="both"/>
        <w:rPr/>
      </w:pPr>
      <w:r>
        <w:rPr>
          <w:rFonts w:ascii="Times New Roman;serif" w:hAnsi="Times New Roman;serif"/>
          <w:b w:val="false"/>
          <w:color w:val="000000"/>
          <w:sz w:val="22"/>
        </w:rPr>
        <w:t>Engaging in transactions in publicly traded options, such as puts and calls, and other derivative securities with respect to the Company’s securities is prohibited under this Policy. This prohibition extends to any hedging or similar transaction designed to decrease the risks associated with holding Company securities (including financial instruments such as prepaid variable forward contracts, equity swaps, collars, and exchange funds); provided that nothing in this Policy will prohibit actions that are expressly permitted by a compensation plan approved by the Board or a committee thereof. Stock options, stock appreciation rights and other securities issued pursuant to Company benefit plans, including exercises thereof and purchases of the underlying shares, or other compensatory arrangements with the Company are not subject to this prohibition. Transactions in derivative securities may reflect a short</w:t>
      </w:r>
      <w:r>
        <w:rPr>
          <w:rFonts w:ascii="Times New Roman;serif" w:hAnsi="Times New Roman;serif"/>
          <w:b w:val="false"/>
          <w:i/>
          <w:color w:val="000000"/>
          <w:sz w:val="22"/>
        </w:rPr>
        <w:t>-</w:t>
      </w:r>
      <w:r>
        <w:rPr>
          <w:rFonts w:ascii="Times New Roman;serif" w:hAnsi="Times New Roman;serif"/>
          <w:b w:val="false"/>
          <w:color w:val="000000"/>
          <w:sz w:val="22"/>
        </w:rPr>
        <w:t xml:space="preserve">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because the application of securities laws to derivatives transactions is complex, engaging in derivatives transactions runs an increased risk of violating securities laws.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Using Company securities as collateral for loans</w:t>
      </w:r>
    </w:p>
    <w:p>
      <w:pPr>
        <w:pStyle w:val="TextBody"/>
        <w:bidi w:val="0"/>
        <w:spacing w:lineRule="auto" w:line="288"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are required to comply with Section 16 of the Exchange Act or the pre-clearance requirements under this Policy, you may not pledge Company securities as collateral for loans, except with the prior approval of the Governance and Sustainability Committee of the Board. If you default on the loan, the lender may sell the pledged securities as collateral in a foreclosure sale. The sale, even though not initiated at your request, is still considered a sale for your benefit and, if made at a time when you are aware of material nonpublic information or otherwise are not permitted to trade in Company securities, may result in inadvertent insider trading violations and Section 16 violations (for officers and directors), violations of this Policy and unfavorable publicity for you and the Company. For these same reasons, even if you are not prohibited from pledging Company securities as collateral for loans, you should exercise caution when doing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Holding Company securities in margin accounts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are required to comply with Section 16 of the Exchange Act or the pre-clearance requirements under this Policy you may not hold Company securities in margin accounts, except pursuant to arrangements approved by the Governance and Sustainability Committee of the Board.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aware of material nonpublic information or are otherwise not permitted to trade, may result in inadvertent insider trading violations, Section 16 violations (for officers and directors), violations of this Policy and unfavorable publicity for you and the Company. For these same reasons, even if you are not prohibited from holding Company securities in margin accounts, you should exercise caution when doing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9"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Placing open orders with brokers</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in accordance with an approved Rule 10b5-1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violations (for officers and directors), violations of this Policy and unfavorable publicity for you and the Company. You should inform any broker with whom you place any open order at the time it is placed that you are subject to closed trading periods and, if applicable, pre-clearance requirements under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VIII.LIMITED EXCEPTIONS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Transactions pursuant to a Rule 10b5-1 trading plan that complies with SEC rules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The Company permits its directors, officers and employees to adopt written Rule 10b5-1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10b5-1 trading plan adopted by a director, officer or employee must be submitted to the Compliance Officer for approval and comply with the requirements set forth in the Requirements for Trading Plans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Requirements for Trading Plans</w:t>
      </w:r>
      <w:r>
        <w:rPr>
          <w:color w:val="000000"/>
        </w:rPr>
        <w:t>”</w:t>
      </w:r>
      <w:r>
        <w:rPr>
          <w:rFonts w:ascii="Times New Roman;serif" w:hAnsi="Times New Roman;serif"/>
          <w:b w:val="false"/>
          <w:color w:val="000000"/>
          <w:sz w:val="22"/>
        </w:rPr>
        <w:t>). If the Compliance Officer is the requester, then the Company’s Chief Executive Officer or Chief Financial Officer or any of their respective delegates, must approve the written 10b5-1 trading plan. Transactions made pursuant to a written trading plan that complies with the affirmative defense set forth in Rule 10b5-1 and is approved by the Compliance Officer, are not subject to the restrictions in this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are an officer (as defined by Rule 16a-1 of the Exchange Act) or director of the Company, under SEC rules, we are required to disclose certain personal information about you and your trading plan in SEC filings, including your name and title, whether you have adopted, modified or terminated a trading plan; the date the trading plan was adopted, modified or terminated; the duration of the trading plan; and the total amount of securities to be purchased or sold under the trading plan. By entering into a trading plan, you acknowledge that this information will be made public in SEC filings.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SEC rules regarding trading plans are complex and must be complied with completely to be effective as an exception to this Policy. The Company strongly advises that you consult with your personal legal advisor if you intend to adopt a trading plan. While trading plans are subject to review and approval by the Company, the individual adopting the trading plan is ultimately responsible for compliance with Rule 10b5-1 and ensuring that the trading plan complies with applicable law, this Policy, and the Requirements for Trading Plans.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Trading plans must be filed with the Compliance Officer (or his or her designee(s)).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50"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Receipt and vesting of equity awards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the grant or award to you of stock options, restricted stock units, restricted stock or stock appreciation rights by the Company. The trading restrictions under this Policy also do not apply to the vesting, cancellation or forfeiture of stock options, restricted stock units, restricted stock or stock appreciation rights in accordance with applicable plans and agreements. However, the trading restrictions do apply to any subsequent sales of any such securities, except as specifically provided below under the heading “Sale of Shares to Cover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Net share withholding and sale of shares to cover tax withholdings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(i) net share withholding with respect to equity awards where shares are withheld by the Company in order to satisfy tax withholding requirements or (ii) sell-to-cover transactions, where shares are sold on your behalf upon vesting of equity awards for the limited purpose of covering tax withholding obligations (and any associated broker or other fees), provided that, in either case, (x) such activity is required by the Company, the Board (or a committee thereof), or the award agreement governing such equity award or (y) if permitted by the Company, prior to such sale, you irrevocably elect to sell such shares in a written manner approved by the Compliance Officer and such election is made at a time when a trading blackout is not in place and you are not in possession of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Exercise of stock options for cash</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the exercise of stock options for cash under the Company’s stock option plans where there is no other associated market activity. However, the trading restrictions under this Policy do apply to (1) the sale of any securities issued upon the exercise of a stock option, (2) a cashless exercise of a stock option through a broker, because this involves selling a portion of the underlying shares to cover the costs of exercise, and (3) any other market sale for the purpose of generating the cash needed to pay the exercise price of an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Purchases from the employee stock purchase plan</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Stock splits, stock dividends and similar transactions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a change in the number of securities held as a result of a stock split or stock dividend applying equally to all securities of a class, or similar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ind w:left="0" w:right="0" w:hanging="720"/>
        <w:jc w:val="both"/>
        <w:rPr>
          <w:rFonts w:ascii="Times New Roman;serif" w:hAnsi="Times New Roman;serif"/>
          <w:b/>
          <w:color w:val="000000"/>
          <w:sz w:val="22"/>
        </w:rPr>
      </w:pPr>
      <w:r>
        <w:rPr>
          <w:rFonts w:ascii="Times New Roman;serif" w:hAnsi="Times New Roman;serif"/>
          <w:b/>
          <w:color w:val="000000"/>
          <w:sz w:val="22"/>
        </w:rPr>
        <w:t>Operation of law; Inheritance</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transfers of securities by operation of law or court order, such as pursuant to a domestic relations order, divorce decree, or a court ordered divorce settlement or separation agreement, in each case, so long as such transfers are not made in satisfaction of payment for any monetary obligations.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trading restrictions under this Policy do not apply to transfers by will or the laws of descent and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1"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Change in form of ownership</w:t>
      </w:r>
    </w:p>
    <w:p>
      <w:pPr>
        <w:pStyle w:val="TextBody"/>
        <w:bidi w:val="0"/>
        <w:spacing w:lineRule="auto" w:line="288" w:before="240" w:after="283"/>
        <w:ind w:left="0" w:right="0" w:firstLine="720"/>
        <w:jc w:val="both"/>
        <w:rPr/>
      </w:pPr>
      <w:r>
        <w:rPr>
          <w:rFonts w:ascii="Times New Roman;serif" w:hAnsi="Times New Roman;serif"/>
          <w:b w:val="false"/>
          <w:color w:val="000000"/>
          <w:sz w:val="22"/>
        </w:rPr>
        <w:t xml:space="preserve">Distributions or transfers (such as certain tax planning or estate planning transfers) that affect only a change in the form of beneficial interest, without changing your pecuniary interest in the Company’s securities, are not subject to the trading restrictions under this Policy. For example, you may transfer shares to an </w:t>
      </w:r>
      <w:r>
        <w:rPr>
          <w:rFonts w:ascii="Times New Roman;serif" w:hAnsi="Times New Roman;serif"/>
          <w:b w:val="false"/>
          <w:i/>
          <w:color w:val="000000"/>
          <w:sz w:val="22"/>
        </w:rPr>
        <w:t>inter vivos</w:t>
      </w:r>
      <w:r>
        <w:rPr>
          <w:color w:val="000000"/>
        </w:rPr>
        <w:t xml:space="preserve"> </w:t>
      </w:r>
      <w:r>
        <w:rPr>
          <w:rFonts w:ascii="Times New Roman;serif" w:hAnsi="Times New Roman;serif"/>
          <w:b w:val="false"/>
          <w:color w:val="000000"/>
          <w:sz w:val="22"/>
        </w:rPr>
        <w:t xml:space="preserve">trust of which you are the sole beneficiary during your lifetime. However, as described in Article IX below, if you are required to comply with Section 16 of the Exchange Act, then you must provide the Compliance Officer with reasonable advance written notice in a form approved by the Compliance Officer.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Other exceptions</w:t>
      </w:r>
    </w:p>
    <w:p>
      <w:pPr>
        <w:pStyle w:val="TextBody"/>
        <w:bidi w:val="0"/>
        <w:spacing w:lineRule="auto" w:line="288" w:before="24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Any other exception from this Policy must be approved by the Compliance Officer, in consultation with the Board of Directors or an independent committee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IX.DIRECTORS AND OFFICERS - COMPLIANCE WITH SECTION 16 OF THE SECURITIES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Obligations under Section 16</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Section 16 of the Exchange Act, and the related rules and regulations, set forth (1) reporting obligations, (2) limitations on “short-swing” transactions and (3) limitations on short sales and other transactions applicable to directors, officers, large shareholders and certain other persons.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The Board has designated the persons who</w:t>
      </w:r>
      <w:r>
        <w:rPr>
          <w:color w:val="000000"/>
        </w:rPr>
        <w:t xml:space="preserve"> </w:t>
      </w:r>
      <w:r>
        <w:rPr>
          <w:rFonts w:ascii="Times New Roman;serif" w:hAnsi="Times New Roman;serif"/>
          <w:b w:val="false"/>
          <w:color w:val="000000"/>
          <w:sz w:val="22"/>
        </w:rPr>
        <w:t xml:space="preserve">are required to comply with Section 16 of the Exchange Act, and the related rules and regulations, because of their positions with the Company. Each person has been advised of their designation.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Notification requirements to facilitate Section 16 reporting</w:t>
      </w:r>
    </w:p>
    <w:p>
      <w:pPr>
        <w:pStyle w:val="TextBody"/>
        <w:bidi w:val="0"/>
        <w:spacing w:lineRule="auto" w:line="288" w:before="240" w:after="283"/>
        <w:ind w:left="0" w:right="0" w:firstLine="720"/>
        <w:jc w:val="both"/>
        <w:rPr/>
      </w:pPr>
      <w:r>
        <w:rPr>
          <w:rFonts w:ascii="Times New Roman;serif" w:hAnsi="Times New Roman;serif"/>
          <w:b w:val="false"/>
          <w:color w:val="000000"/>
          <w:sz w:val="22"/>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serif" w:hAnsi="Times New Roman;serif"/>
          <w:b w:val="false"/>
          <w:i/>
          <w:color w:val="000000"/>
          <w:sz w:val="22"/>
        </w:rPr>
        <w:t>e.g.,</w:t>
      </w:r>
      <w:r>
        <w:rPr>
          <w:color w:val="000000"/>
        </w:rPr>
        <w:t xml:space="preserve"> </w:t>
      </w:r>
      <w:r>
        <w:rPr>
          <w:rFonts w:ascii="Times New Roman;serif" w:hAnsi="Times New Roman;serif"/>
          <w:b w:val="false"/>
          <w:color w:val="000000"/>
          <w:sz w:val="22"/>
        </w:rPr>
        <w:t xml:space="preserve">trade date, number of shares, exact price, </w:t>
      </w:r>
      <w:r>
        <w:rPr>
          <w:rFonts w:ascii="Times New Roman;serif" w:hAnsi="Times New Roman;serif"/>
          <w:b w:val="false"/>
          <w:i/>
          <w:color w:val="000000"/>
          <w:sz w:val="22"/>
        </w:rPr>
        <w:t>etc.</w:t>
      </w:r>
      <w:r>
        <w:rPr>
          <w:rFonts w:ascii="Times New Roman;serif" w:hAnsi="Times New Roman;serif"/>
          <w:b w:val="false"/>
          <w:color w:val="000000"/>
          <w:sz w:val="22"/>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Personal responsibility</w: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obligation to file Section 16 reports, and to otherwise comply with Section 16, is personal. The Company is not responsible for the failure to comply with Section 16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720"/>
        <w:jc w:val="left"/>
        <w:rPr>
          <w:rFonts w:ascii="Times New Roman;serif" w:hAnsi="Times New Roman;serif"/>
          <w:b/>
          <w:color w:val="000000"/>
          <w:sz w:val="22"/>
        </w:rPr>
      </w:pPr>
      <w:r>
        <w:rPr>
          <w:rFonts w:ascii="Times New Roman;serif" w:hAnsi="Times New Roman;serif"/>
          <w:b/>
          <w:color w:val="000000"/>
          <w:sz w:val="22"/>
        </w:rPr>
        <w:t>X.ADDITIONAL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Availability of Policy</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Policy will be made available to all directors, officers, employees, consultants, contractors, and advisors of the Company when they commence service with the Company. Each director, officer, employee and agent of the Company is required, if requested, to acknowledge that he or she understands, and agrees to comply with, this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2"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Amendments</w:t>
      </w:r>
    </w:p>
    <w:p>
      <w:pPr>
        <w:pStyle w:val="TextBody"/>
        <w:bidi w:val="0"/>
        <w:spacing w:lineRule="auto" w:line="288" w:before="24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are committed to continuously reviewing and updating our policies and procedures. The Company therefore reserves the right to amend, alter or terminate this Policy at any time and for any reason, subject to applicable law. A current copy of the Company’s policies regarding insider trading may be obtained by contacting the Compliance Officer.</w:t>
      </w:r>
    </w:p>
    <w:p>
      <w:pPr>
        <w:pStyle w:val="TextBody"/>
        <w:bidi w:val="0"/>
        <w:spacing w:before="0" w:after="0"/>
        <w:jc w:val="both"/>
        <w:rPr/>
      </w:pPr>
      <w:r>
        <w:rPr/>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3"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A</w:t>
      </w:r>
    </w:p>
    <w:p>
      <w:pPr>
        <w:pStyle w:val="TextBody"/>
        <w:bidi w:val="0"/>
        <w:spacing w:lineRule="auto" w:line="288" w:before="0" w:after="0"/>
        <w:jc w:val="center"/>
        <w:rPr/>
      </w:pPr>
      <w:r>
        <w:rPr>
          <w:rFonts w:ascii="Times New Roman;serif" w:hAnsi="Times New Roman;serif"/>
          <w:b w:val="false"/>
          <w:color w:val="000000"/>
          <w:sz w:val="22"/>
          <w:shd w:fill="FFFFFF" w:val="clear"/>
        </w:rPr>
        <w:t>(</w:t>
      </w:r>
      <w:r>
        <w:rPr>
          <w:rFonts w:ascii="Times New Roman;serif" w:hAnsi="Times New Roman;serif"/>
          <w:b w:val="false"/>
          <w:i/>
          <w:color w:val="000000"/>
          <w:sz w:val="22"/>
          <w:shd w:fill="FFFFFF" w:val="clear"/>
        </w:rPr>
        <w:t>Attached</w:t>
      </w:r>
      <w:r>
        <w:rPr>
          <w:rFonts w:ascii="Times New Roman;serif" w:hAnsi="Times New Roman;serif"/>
          <w:b w:val="false"/>
          <w:color w:val="000000"/>
          <w:sz w:val="22"/>
          <w:shd w:fill="FFFFFF" w:val="clear"/>
        </w:rPr>
        <w:t>.)</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4"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PALO ALTO NETWORKS,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REQUIREMENTS FOR TRADING PLANS</w:t>
        <w:br/>
        <w:t>(Amended and Restated effective as of May 1, 2025)</w:t>
      </w:r>
    </w:p>
    <w:p>
      <w:pPr>
        <w:pStyle w:val="TextBody"/>
        <w:bidi w:val="0"/>
        <w:spacing w:before="0" w:after="0"/>
        <w:jc w:val="center"/>
        <w:rPr/>
      </w:pPr>
      <w:r>
        <w:rPr/>
      </w:r>
    </w:p>
    <w:p>
      <w:pPr>
        <w:pStyle w:val="TextBody"/>
        <w:bidi w:val="0"/>
        <w:spacing w:lineRule="auto" w:line="288" w:before="240" w:after="283"/>
        <w:ind w:left="0" w:right="0" w:firstLine="360"/>
        <w:jc w:val="both"/>
        <w:rPr/>
      </w:pPr>
      <w:r>
        <w:rPr>
          <w:rFonts w:ascii="Times New Roman;serif" w:hAnsi="Times New Roman;serif"/>
          <w:b w:val="false"/>
          <w:color w:val="000000"/>
          <w:sz w:val="22"/>
        </w:rPr>
        <w:t>These Palo Alto Networks, Inc. Requirements for Trading Plans (“</w:t>
      </w:r>
      <w:r>
        <w:rPr>
          <w:rFonts w:ascii="Times New Roman;serif" w:hAnsi="Times New Roman;serif"/>
          <w:b/>
          <w:color w:val="000000"/>
          <w:sz w:val="22"/>
        </w:rPr>
        <w:t>Requirements</w:t>
      </w:r>
      <w:r>
        <w:rPr>
          <w:color w:val="000000"/>
        </w:rPr>
        <w:t>”</w:t>
      </w:r>
      <w:r>
        <w:rPr>
          <w:rFonts w:ascii="Times New Roman;serif" w:hAnsi="Times New Roman;serif"/>
          <w:b w:val="false"/>
          <w:color w:val="000000"/>
          <w:sz w:val="22"/>
        </w:rPr>
        <w:t>) apply to all trading plans adopted or modified after the date set forth above.  For transactions under a trading plan to be exempt from (i) the prohibitions in the company’s insider trading policy with respect to transactions made while aware of material nonpublic information and (ii) the pre-clearance procedures and blackout periods established under the insider trading policy, the trading plan must comply with the affirmative defense set forth in Exchange Act Rule 10b5-1, and must meet the following requirements:</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1.The trading plan must be in writing and signed by the person adopting the trading plan.</w:t>
      </w:r>
    </w:p>
    <w:p>
      <w:pPr>
        <w:pStyle w:val="TextBody"/>
        <w:bidi w:val="0"/>
        <w:spacing w:lineRule="auto" w:line="288" w:before="240" w:after="283"/>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2.The trading plan must be adopted at a time when: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person adopting the trading plan is not aware of any material nonpublic information (which the trading plan must include as a representation, as of the date of adoption);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there is no quarterly, special or other trading blackout in effect with respect to the person adopting the plan.</w:t>
      </w:r>
    </w:p>
    <w:p>
      <w:pPr>
        <w:pStyle w:val="TextBody"/>
        <w:bidi w:val="0"/>
        <w:spacing w:lineRule="auto" w:line="288" w:before="240" w:after="283"/>
        <w:jc w:val="both"/>
        <w:rPr/>
      </w:pPr>
      <w:r>
        <w:rPr>
          <w:rFonts w:ascii="Times New Roman;serif" w:hAnsi="Times New Roman;serif"/>
          <w:b w:val="false"/>
          <w:color w:val="000000"/>
          <w:sz w:val="22"/>
        </w:rPr>
        <w:t>3.</w:t>
      </w:r>
      <w:r>
        <w:rPr>
          <w:rFonts w:ascii="Times New Roman;serif" w:hAnsi="Times New Roman;serif"/>
          <w:b w:val="false"/>
          <w:color w:val="000000"/>
          <w:sz w:val="22"/>
        </w:rPr>
        <w:t>The trading plan must be entered into and operated in good faith, and not as part of a plan or scheme to evade the prohibitions of Rule 10b5-1 (which the trading plan must include as representations, as of the date of adoption).  The person entering into a trading plan must also act in good faith with respect to that plan.</w:t>
      </w:r>
    </w:p>
    <w:p>
      <w:pPr>
        <w:pStyle w:val="TextBody"/>
        <w:bidi w:val="0"/>
        <w:spacing w:lineRule="auto" w:line="288" w:before="240" w:after="283"/>
        <w:jc w:val="both"/>
        <w:rPr/>
      </w:pPr>
      <w:r>
        <w:rPr>
          <w:rFonts w:ascii="Times New Roman;serif" w:hAnsi="Times New Roman;serif"/>
          <w:b w:val="false"/>
          <w:color w:val="000000"/>
          <w:sz w:val="22"/>
        </w:rPr>
        <w:t>4.</w:t>
      </w:r>
      <w:r>
        <w:rPr>
          <w:rFonts w:ascii="Times New Roman;serif" w:hAnsi="Times New Roman;serif"/>
          <w:b w:val="false"/>
          <w:color w:val="000000"/>
          <w:sz w:val="22"/>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r>
        <w:rPr>
          <w:color w:val="000000"/>
        </w:rPr>
        <w:t> </w:t>
      </w:r>
    </w:p>
    <w:p>
      <w:pPr>
        <w:pStyle w:val="TextBody"/>
        <w:bidi w:val="0"/>
        <w:spacing w:lineRule="auto" w:line="288" w:before="240" w:after="283"/>
        <w:jc w:val="both"/>
        <w:rPr/>
      </w:pPr>
      <w:r>
        <w:rPr>
          <w:rFonts w:ascii="Times New Roman;serif" w:hAnsi="Times New Roman;serif"/>
          <w:b w:val="false"/>
          <w:color w:val="000000"/>
          <w:sz w:val="22"/>
        </w:rPr>
        <w:t>5.</w:t>
      </w:r>
      <w:r>
        <w:rPr>
          <w:rFonts w:ascii="Times New Roman;serif" w:hAnsi="Times New Roman;serif"/>
          <w:b w:val="false"/>
          <w:color w:val="000000"/>
          <w:sz w:val="22"/>
        </w:rPr>
        <w:t>The first trade under the trading plan may not occur until the applicable “cooling-off period” has expired, as follows:</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a.For directors or Section 16 “officers” (as defined in Exchange Act Rule 16a-1(f) of the Securities Exchange Act of 1934), the first trade may not occur until after the later of (i) 90 calendar days after adoption of the trading plan, and (ii)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b.For all other people, the first trade may not occur until after the later of (i) the termination of the next quarterly blackout period following adoption of the trading plan and (ii) 30 calendar days after adoption of the trading plan.</w:t>
      </w:r>
    </w:p>
    <w:p>
      <w:pPr>
        <w:pStyle w:val="TextBody"/>
        <w:bidi w:val="0"/>
        <w:spacing w:lineRule="auto" w:line="288" w:before="240" w:after="283"/>
        <w:jc w:val="both"/>
        <w:rPr/>
      </w:pPr>
      <w:r>
        <w:rPr>
          <w:rFonts w:ascii="Times New Roman;serif" w:hAnsi="Times New Roman;serif"/>
          <w:b w:val="false"/>
          <w:color w:val="000000"/>
          <w:sz w:val="22"/>
        </w:rPr>
        <w:t>6.</w:t>
      </w:r>
      <w:r>
        <w:rPr>
          <w:rFonts w:ascii="Times New Roman;serif" w:hAnsi="Times New Roman;serif"/>
          <w:b w:val="false"/>
          <w:color w:val="000000"/>
          <w:sz w:val="22"/>
        </w:rPr>
        <w:t>The trading plan must have a minimum term of six months with such term to be measured starting from the date of adoption.</w:t>
      </w:r>
    </w:p>
    <w:p>
      <w:pPr>
        <w:pStyle w:val="TextBody"/>
        <w:bidi w:val="0"/>
        <w:spacing w:lineRule="auto" w:line="288" w:before="240" w:after="283"/>
        <w:jc w:val="both"/>
        <w:rPr/>
      </w:pPr>
      <w:r>
        <w:rPr>
          <w:rFonts w:ascii="Times New Roman;serif" w:hAnsi="Times New Roman;serif"/>
          <w:b w:val="false"/>
          <w:color w:val="000000"/>
          <w:sz w:val="22"/>
        </w:rPr>
        <w:t>7.</w:t>
      </w:r>
      <w:r>
        <w:rPr>
          <w:rFonts w:ascii="Times New Roman;serif" w:hAnsi="Times New Roman;serif"/>
          <w:b w:val="false"/>
          <w:color w:val="000000"/>
          <w:sz w:val="22"/>
        </w:rPr>
        <w:t xml:space="preserve">No transactions may occur during the term of the trading plan (except for the other “Limited Exceptions” identified in the company’s insider trading policy and bona fide gifts) except for those transactions specified in the trading plan. </w:t>
      </w:r>
      <w:r>
        <w:rPr>
          <w:color w:val="000000"/>
        </w:rPr>
        <w:t> </w:t>
      </w:r>
      <w:r>
        <w:rPr>
          <w:rFonts w:ascii="Times New Roman;serif" w:hAnsi="Times New Roman;serif"/>
          <w:b w:val="false"/>
          <w:color w:val="000000"/>
          <w:sz w:val="22"/>
        </w:rPr>
        <w:t>In addition, the person adopting the trading plan may not have an outstanding trading plan (and may not subsequently enter into any additional trading plans), except as permitted by Rule 10b5-1.</w:t>
      </w:r>
    </w:p>
    <w:p>
      <w:pPr>
        <w:pStyle w:val="TextBody"/>
        <w:bidi w:val="0"/>
        <w:spacing w:lineRule="auto" w:line="288" w:before="240" w:after="283"/>
        <w:jc w:val="both"/>
        <w:rPr/>
      </w:pPr>
      <w:r>
        <w:rPr>
          <w:rFonts w:ascii="Times New Roman;serif" w:hAnsi="Times New Roman;serif"/>
          <w:b w:val="false"/>
          <w:color w:val="000000"/>
          <w:sz w:val="22"/>
        </w:rPr>
        <w:t>8.</w:t>
      </w:r>
      <w:r>
        <w:rPr>
          <w:rFonts w:ascii="Times New Roman;serif" w:hAnsi="Times New Roman;serif"/>
          <w:b w:val="false"/>
          <w:color w:val="000000"/>
          <w:sz w:val="22"/>
        </w:rPr>
        <w:t>Any modification or change to the amount, price or timing of transactions under the trading plan is deemed the termination of the trading plan, and the adoption of a new trading plan (“</w:t>
      </w:r>
      <w:r>
        <w:rPr>
          <w:rFonts w:ascii="Times New Roman;serif" w:hAnsi="Times New Roman;serif"/>
          <w:b/>
          <w:color w:val="000000"/>
          <w:sz w:val="22"/>
        </w:rPr>
        <w:t>Modification</w:t>
      </w:r>
      <w:r>
        <w:rPr>
          <w:color w:val="000000"/>
        </w:rPr>
        <w:t>”</w:t>
      </w:r>
      <w:r>
        <w:rPr>
          <w:rFonts w:ascii="Times New Roman;serif" w:hAnsi="Times New Roman;serif"/>
          <w:b w:val="false"/>
          <w:color w:val="000000"/>
          <w:sz w:val="22"/>
        </w:rPr>
        <w:t>). Therefore, a Modification is subject to the same conditions as a new trading plan as set forth in Sections 1 through 7 herein.</w:t>
      </w:r>
    </w:p>
    <w:p>
      <w:pPr>
        <w:pStyle w:val="TextBody"/>
        <w:bidi w:val="0"/>
        <w:spacing w:lineRule="auto" w:line="288" w:before="240" w:after="283"/>
        <w:jc w:val="both"/>
        <w:rPr/>
      </w:pPr>
      <w:r>
        <w:rPr>
          <w:rFonts w:ascii="Times New Roman;serif" w:hAnsi="Times New Roman;serif"/>
          <w:b w:val="false"/>
          <w:color w:val="000000"/>
          <w:sz w:val="22"/>
        </w:rPr>
        <w:t>9.</w:t>
      </w:r>
      <w:r>
        <w:rPr>
          <w:rFonts w:ascii="Times New Roman;serif" w:hAnsi="Times New Roman;serif"/>
          <w:b w:val="false"/>
          <w:color w:val="000000"/>
          <w:sz w:val="22"/>
        </w:rPr>
        <w:t>Within the twelve months immediately preceding a person having adopted or made a Modification to a trading plan, that person cannot have adopted or effected a Modification to a plan more than once.</w:t>
      </w:r>
    </w:p>
    <w:p>
      <w:pPr>
        <w:pStyle w:val="TextBody"/>
        <w:bidi w:val="0"/>
        <w:spacing w:lineRule="auto" w:line="288" w:before="240" w:after="283"/>
        <w:jc w:val="both"/>
        <w:rPr/>
      </w:pPr>
      <w:r>
        <w:rPr>
          <w:rFonts w:ascii="Times New Roman;serif" w:hAnsi="Times New Roman;serif"/>
          <w:b w:val="false"/>
          <w:color w:val="000000"/>
          <w:sz w:val="22"/>
        </w:rPr>
        <w:t>10.</w:t>
      </w:r>
      <w:r>
        <w:rPr>
          <w:rFonts w:ascii="Times New Roman;serif" w:hAnsi="Times New Roman;serif"/>
          <w:b w:val="false"/>
          <w:color w:val="000000"/>
          <w:sz w:val="22"/>
        </w:rPr>
        <w:t>A person who terminates a trading plan prior to its stated duration (an “Early Termination”) may not trade in the company’s securities (except for the other “Limited Exceptions” identified in the company’s insider trading policy and bona fide gifts) until the later of (i)  the termination of the next quarterly blackout period following the date of the trading plan was terminated, and (ii) 30 calendar days after after the date the trading plan was terminated, except that the termination of one plan shall not affect any trades that are scheduled to be made under another valid plan that is in place at the time of termination. A person can have only one Early Termination within a consecutive twelve-month period.</w:t>
      </w:r>
    </w:p>
    <w:p>
      <w:pPr>
        <w:pStyle w:val="TextBody"/>
        <w:bidi w:val="0"/>
        <w:spacing w:lineRule="auto" w:line="288" w:before="240" w:after="283"/>
        <w:jc w:val="both"/>
        <w:rPr/>
      </w:pPr>
      <w:r>
        <w:rPr>
          <w:rFonts w:ascii="Times New Roman;serif" w:hAnsi="Times New Roman;serif"/>
          <w:b w:val="false"/>
          <w:color w:val="000000"/>
          <w:sz w:val="22"/>
        </w:rPr>
        <w:t>11.</w:t>
      </w:r>
      <w:r>
        <w:rPr>
          <w:rFonts w:ascii="Times New Roman;serif" w:hAnsi="Times New Roman;serif"/>
          <w:b w:val="false"/>
          <w:color w:val="000000"/>
          <w:sz w:val="22"/>
        </w:rPr>
        <w:t>A trading plan that is designed to effect a single trade (a “Single-Trade Plan”) may be adopted only if the person adopting the plan has not, during the prior 12-month period, adopted a Single-Trade Plan.  Single-Trade Plans do not include plans that use several different stock price triggers or that give trading discretion to a broker, even if they happen to execute in one single trade, and do not include Sell-to-Cover Plans.</w:t>
      </w:r>
    </w:p>
    <w:p>
      <w:pPr>
        <w:pStyle w:val="TextBody"/>
        <w:bidi w:val="0"/>
        <w:spacing w:lineRule="auto" w:line="288" w:before="240" w:after="283"/>
        <w:jc w:val="both"/>
        <w:rPr/>
      </w:pPr>
      <w:r>
        <w:rPr>
          <w:rFonts w:ascii="Times New Roman;serif" w:hAnsi="Times New Roman;serif"/>
          <w:b w:val="false"/>
          <w:color w:val="000000"/>
          <w:sz w:val="22"/>
        </w:rPr>
        <w:t>12.</w:t>
      </w:r>
      <w:r>
        <w:rPr>
          <w:rFonts w:ascii="Times New Roman;serif" w:hAnsi="Times New Roman;serif"/>
          <w:b w:val="false"/>
          <w:color w:val="000000"/>
          <w:sz w:val="22"/>
        </w:rPr>
        <w:t>The company must be promptly notified of any Modification or termination of the trading plan, including any suspension of trading under the plan.</w:t>
      </w:r>
    </w:p>
    <w:p>
      <w:pPr>
        <w:pStyle w:val="TextBody"/>
        <w:bidi w:val="0"/>
        <w:spacing w:lineRule="auto" w:line="288" w:before="240" w:after="283"/>
        <w:jc w:val="both"/>
        <w:rPr/>
      </w:pPr>
      <w:r>
        <w:rPr>
          <w:rFonts w:ascii="Times New Roman;serif" w:hAnsi="Times New Roman;serif"/>
          <w:b w:val="false"/>
          <w:color w:val="000000"/>
          <w:sz w:val="22"/>
        </w:rPr>
        <w:t>13.</w:t>
      </w:r>
      <w:r>
        <w:rPr>
          <w:rFonts w:ascii="Times New Roman;serif" w:hAnsi="Times New Roman;serif"/>
          <w:b w:val="false"/>
          <w:color w:val="000000"/>
          <w:sz w:val="22"/>
        </w:rPr>
        <w:t>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pStyle w:val="TextBody"/>
        <w:bidi w:val="0"/>
        <w:spacing w:lineRule="auto" w:line="288" w:before="240" w:after="283"/>
        <w:jc w:val="both"/>
        <w:rPr/>
      </w:pPr>
      <w:r>
        <w:rPr>
          <w:rFonts w:ascii="Times New Roman;serif" w:hAnsi="Times New Roman;serif"/>
          <w:b w:val="false"/>
          <w:color w:val="000000"/>
          <w:sz w:val="22"/>
        </w:rPr>
        <w:t>14.</w:t>
      </w:r>
      <w:r>
        <w:rPr>
          <w:rFonts w:ascii="Times New Roman;serif" w:hAnsi="Times New Roman;serif"/>
          <w:b w:val="false"/>
          <w:color w:val="000000"/>
          <w:sz w:val="22"/>
        </w:rPr>
        <w:t>If the trading plan grants discretion to a stockbroker or other person with respect to the execution of trades under the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trades made under the trading plan must be executed by someone other than the stockbroker or other person that executes trades in other securities for the person adopting the trading plan;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person adopting the trading plan may not confer with the person administering the trading plan regarding the company or its securities;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2"/>
        </w:rPr>
        <w:t>the person administering the trading plan must provide prompt notice to the company of the execution of a transaction pursuant to the plan.</w:t>
      </w:r>
    </w:p>
    <w:p>
      <w:pPr>
        <w:pStyle w:val="TextBody"/>
        <w:bidi w:val="0"/>
        <w:spacing w:lineRule="auto" w:line="288" w:before="240" w:after="283"/>
        <w:jc w:val="both"/>
        <w:rPr/>
      </w:pPr>
      <w:r>
        <w:rPr>
          <w:rFonts w:ascii="Times New Roman;serif" w:hAnsi="Times New Roman;serif"/>
          <w:b w:val="false"/>
          <w:color w:val="000000"/>
          <w:sz w:val="22"/>
        </w:rPr>
        <w:t>15.</w:t>
      </w:r>
      <w:r>
        <w:rPr>
          <w:rFonts w:ascii="Times New Roman;serif" w:hAnsi="Times New Roman;serif"/>
          <w:b w:val="false"/>
          <w:color w:val="000000"/>
          <w:sz w:val="22"/>
        </w:rPr>
        <w:t>All transactions under the trading plan must be in accordance with applicable law.</w:t>
      </w:r>
    </w:p>
    <w:p>
      <w:pPr>
        <w:pStyle w:val="TextBody"/>
        <w:bidi w:val="0"/>
        <w:spacing w:lineRule="auto" w:line="288" w:before="240" w:after="283"/>
        <w:jc w:val="both"/>
        <w:rPr/>
      </w:pPr>
      <w:r>
        <w:rPr>
          <w:rFonts w:ascii="Times New Roman;serif" w:hAnsi="Times New Roman;serif"/>
          <w:b w:val="false"/>
          <w:color w:val="000000"/>
          <w:sz w:val="22"/>
        </w:rPr>
        <w:t>16.</w:t>
      </w:r>
      <w:r>
        <w:rPr>
          <w:rFonts w:ascii="Times New Roman;serif" w:hAnsi="Times New Roman;serif"/>
          <w:b w:val="false"/>
          <w:color w:val="000000"/>
          <w:sz w:val="22"/>
        </w:rPr>
        <w:t>The trading plan (including any modified trading plan) must be pre-approved by the Compliance Officer (or their designee) and meet such other requirements as the Compliance Officer (or their designee) may determine.</w:t>
      </w:r>
    </w:p>
    <w:p>
      <w:pPr>
        <w:pStyle w:val="TextBody"/>
        <w:bidi w:val="0"/>
        <w:spacing w:lineRule="auto" w:line="288" w:before="240" w:after="283"/>
        <w:jc w:val="both"/>
        <w:rPr/>
      </w:pPr>
      <w:r>
        <w:rPr>
          <w:rFonts w:ascii="Times New Roman;serif" w:hAnsi="Times New Roman;serif"/>
          <w:b w:val="false"/>
          <w:color w:val="000000"/>
          <w:sz w:val="22"/>
        </w:rPr>
        <w:t>17.</w:t>
      </w:r>
      <w:r>
        <w:rPr>
          <w:rFonts w:ascii="Times New Roman;serif" w:hAnsi="Times New Roman;serif"/>
          <w:b w:val="false"/>
          <w:color w:val="000000"/>
          <w:sz w:val="22"/>
        </w:rPr>
        <w:t>The trading plan must be filed with the Compliance Officer (or their designee).</w:t>
      </w:r>
    </w:p>
    <w:p>
      <w:pPr>
        <w:pStyle w:val="TextBody"/>
        <w:bidi w:val="0"/>
        <w:spacing w:lineRule="auto" w:line="288" w:before="240" w:after="283"/>
        <w:jc w:val="both"/>
        <w:rPr/>
      </w:pPr>
      <w:r>
        <w:rPr>
          <w:rFonts w:ascii="Times New Roman;serif" w:hAnsi="Times New Roman;serif"/>
          <w:b w:val="false"/>
          <w:color w:val="000000"/>
          <w:sz w:val="22"/>
        </w:rPr>
        <w:t>18.</w:t>
      </w:r>
      <w:r>
        <w:rPr>
          <w:rFonts w:ascii="Times New Roman;serif" w:hAnsi="Times New Roman;serif"/>
          <w:b w:val="false"/>
          <w:color w:val="000000"/>
          <w:sz w:val="22"/>
        </w:rPr>
        <w:t>Each trading plan must provide that the broker will provide notice of any trades under the trading plan to the individual and the company in sufficient time to allow for timely filings under the Exchange Act (</w:t>
      </w:r>
      <w:r>
        <w:rPr>
          <w:rFonts w:ascii="Times New Roman;serif" w:hAnsi="Times New Roman;serif"/>
          <w:b w:val="false"/>
          <w:i/>
          <w:color w:val="000000"/>
          <w:sz w:val="22"/>
        </w:rPr>
        <w:t>i.e</w:t>
      </w:r>
      <w:r>
        <w:rPr>
          <w:rFonts w:ascii="Times New Roman;serif" w:hAnsi="Times New Roman;serif"/>
          <w:b w:val="false"/>
          <w:color w:val="000000"/>
          <w:sz w:val="22"/>
        </w:rPr>
        <w:t>., no later than the close of business on the day of the trade).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5"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120" w:after="283"/>
        <w:jc w:val="center"/>
        <w:rPr/>
      </w:pPr>
      <w:r>
        <w:rPr/>
      </w:r>
    </w:p>
    <w:p>
      <w:pPr>
        <w:pStyle w:val="TextBody"/>
        <w:bidi w:val="0"/>
        <w:spacing w:lineRule="auto" w:line="333"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LIST OF SUBSIDIARIES</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PALO ALTO NETWORKS, INC.</w:t>
      </w:r>
    </w:p>
    <w:p>
      <w:pPr>
        <w:pStyle w:val="TextBody"/>
        <w:bidi w:val="0"/>
        <w:spacing w:before="0" w:after="0"/>
        <w:jc w:val="center"/>
        <w:rPr/>
      </w:pPr>
      <w:r>
        <w:rPr/>
      </w:r>
    </w:p>
    <w:p>
      <w:pPr>
        <w:pStyle w:val="TextBody"/>
        <w:bidi w:val="0"/>
        <w:spacing w:lineRule="auto" w:line="249"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504"/>
        <w:gridCol w:w="2182"/>
        <w:gridCol w:w="2189"/>
        <w:gridCol w:w="109"/>
        <w:gridCol w:w="109"/>
        <w:gridCol w:w="109"/>
        <w:gridCol w:w="879"/>
        <w:gridCol w:w="879"/>
        <w:gridCol w:w="1245"/>
      </w:tblGrid>
      <w:tr>
        <w:trPr/>
        <w:tc>
          <w:tcPr>
            <w:tcW w:w="2504"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54" w:before="75" w:after="30"/>
              <w:jc w:val="left"/>
              <w:rPr>
                <w:rFonts w:ascii="Times New Roman;serif" w:hAnsi="Times New Roman;serif"/>
                <w:b/>
                <w:color w:val="000000"/>
                <w:sz w:val="22"/>
              </w:rPr>
            </w:pPr>
            <w:r>
              <w:rPr>
                <w:rFonts w:ascii="Times New Roman;serif" w:hAnsi="Times New Roman;serif"/>
                <w:b/>
                <w:color w:val="000000"/>
                <w:sz w:val="22"/>
              </w:rPr>
              <w:t>Jurisdiction of Incorporation</w:t>
            </w:r>
          </w:p>
        </w:tc>
      </w:tr>
      <w:tr>
        <w:trPr/>
        <w:tc>
          <w:tcPr>
            <w:tcW w:w="6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Sinefa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(Austria)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Belgium B.V.B.A.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(Canada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 Networks Costa Rica LLC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Costa Rica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(Czech)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3375 Scott Blvd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3408 Garrett Drive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Aporeto,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BridgeCrew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Cider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CloudGenix,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Dig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Evident.io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Expanse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Expanse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Gamma Networks,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LightCyber,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Financial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Financial Services Public Sector,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(Malaysia),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Public Sector,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Venture Fund,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Demisto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Protect AI,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PureSec,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RedLock,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SecDo,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Sinefa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Talon Cyber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Twistlock,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Zingbox,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Zycada Networks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Denmark</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Protect AI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Greece Single Member Private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Greece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(Hungary)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(India) Technologies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MLAISEC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Security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Athens Strategies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(Israel Services)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K.K. (Kabushiki Kaisha)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(New Zealand) Unlimited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Norway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(Poland)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PANW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(QFC)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Qatar</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Korea, Ltd. - Yuhan Hoesa (YH)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Korea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Regional Headquarters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Saudi Arabia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(Singapore) Holding Company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(Iberia),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(EU)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(GEO)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Turkey Siber Guvenlik Destek Hizmetleri Limited Şirketi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Turkiye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FZ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418SEC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FS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Holding 1)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Holding 2)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Crypsis Digital Security,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Virginia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Crypsis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Virginia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6"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(Form S-8 No. 333-182762) pertaining to the 2005 Equity Incentive Plan, 2012 Equity Incentive Plan and the 2012 Employee Stock Purchase Plan of Palo Alto Networks, Inc.,</w:t>
      </w:r>
    </w:p>
    <w:p>
      <w:pPr>
        <w:pStyle w:val="TextBody"/>
        <w:bidi w:val="0"/>
        <w:spacing w:lineRule="auto" w:line="268" w:before="0" w:after="0"/>
        <w:ind w:left="0" w:right="0" w:hanging="360"/>
        <w:jc w:val="left"/>
        <w:rPr/>
      </w:pPr>
      <w:r>
        <w:rPr>
          <w:rFonts w:ascii="Times New Roman;serif" w:hAnsi="Times New Roman;serif"/>
          <w:b w:val="false"/>
          <w:color w:val="000000"/>
          <w:sz w:val="20"/>
        </w:rPr>
        <w:t>2.Registration Statements (Form S-8 No. 333-191340, 333-198859, 333-207003, 333-213547, 333-220383, 333-227322, 333-233689, 333-248626 and 333-259322) pertaining to the 2012 Equity Incentive Plan and the 2012 Employee Stock Purchase Plan of Palo Alto</w:t>
      </w:r>
      <w:r>
        <w:rPr>
          <w:color w:val="000000"/>
          <w:shd w:fill="FFFFFF" w:val="clear"/>
        </w:rPr>
        <w:t xml:space="preserve"> </w:t>
      </w:r>
      <w:r>
        <w:rPr>
          <w:rFonts w:ascii="Times New Roman;serif" w:hAnsi="Times New Roman;serif"/>
          <w:b w:val="false"/>
          <w:color w:val="000000"/>
          <w:sz w:val="20"/>
          <w:shd w:fill="FFFFFF" w:val="clear"/>
        </w:rPr>
        <w:t>Networks, Inc.,</w:t>
      </w:r>
    </w:p>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3.Registration Statement (Form S-8 No. 333-227901) pertaining to the RedLock Inc. 2015 Stock Plan,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4.Registration Statements (Form S-8 No. 333-261697, 333-268930, 333-276424 and 333-283906) pertaining to the 2021 Equity Incentive Plan,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5.Registration Statements (Form S-8 No. 333-267296, 333-274318 and 333-281998) pertaining to the 2012 Employee Stock Purchase Plan, and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6.Registration Statement (Form S-8 No. 333-268931) pertaining to the Cider Security Ltd. 2020 Equity Incentive Plan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our reports dated August 29, 2025, with respect to the consolidated financial statements of Palo Alto Networks, Inc. and the effectiveness of internal control over financial reporting of Palo Alto Networks, Inc. included in this Annual Report (Form 10-K) of Palo Alto Networks, Inc. for the year ended July 31,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Mateo,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August 29,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7"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Nikesh Arora, certify that:</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Palo Alto Networks, Inc.;</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3135" w:type="dxa"/>
        <w:jc w:val="left"/>
        <w:tblInd w:w="0" w:type="dxa"/>
        <w:tblLayout w:type="fixed"/>
        <w:tblCellMar>
          <w:top w:w="28" w:type="dxa"/>
          <w:left w:w="28" w:type="dxa"/>
          <w:bottom w:w="28" w:type="dxa"/>
          <w:right w:w="28" w:type="dxa"/>
        </w:tblCellMar>
      </w:tblPr>
      <w:tblGrid>
        <w:gridCol w:w="1002"/>
        <w:gridCol w:w="881"/>
        <w:gridCol w:w="1252"/>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29,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8"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Dipak Golechha, certify that:</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Palo Alto Networks, Inc.;</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2070" w:type="dxa"/>
        <w:jc w:val="left"/>
        <w:tblInd w:w="0" w:type="dxa"/>
        <w:tblLayout w:type="fixed"/>
        <w:tblCellMar>
          <w:top w:w="28" w:type="dxa"/>
          <w:left w:w="28" w:type="dxa"/>
          <w:bottom w:w="28" w:type="dxa"/>
          <w:right w:w="28" w:type="dxa"/>
        </w:tblCellMar>
      </w:tblPr>
      <w:tblGrid>
        <w:gridCol w:w="662"/>
        <w:gridCol w:w="582"/>
        <w:gridCol w:w="8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DIPAK GOLECHHA</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29,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9"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Nikesh Arora, certify, pursuant to 18 U.S.C. Section 1350, as adopted pursuant to Section 906 of the Sarbanes-Oxley Act of 2002, that the Annual Report on Form 10-K of Palo Alto Networks, Inc. for the fiscal year ended July 31, 2025,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3135" w:type="dxa"/>
        <w:jc w:val="left"/>
        <w:tblInd w:w="0" w:type="dxa"/>
        <w:tblLayout w:type="fixed"/>
        <w:tblCellMar>
          <w:top w:w="28" w:type="dxa"/>
          <w:left w:w="28" w:type="dxa"/>
          <w:bottom w:w="28" w:type="dxa"/>
          <w:right w:w="28" w:type="dxa"/>
        </w:tblCellMar>
      </w:tblPr>
      <w:tblGrid>
        <w:gridCol w:w="1002"/>
        <w:gridCol w:w="880"/>
        <w:gridCol w:w="1253"/>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 xml:space="preserve">RORA </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Date: August 29,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60"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Dipak Golechha, certify, pursuant to 18 U.S.C. Section 1350, as adopted pursuant to Section 906 of the Sarbanes-Oxley Act of 2002, that the Annual Report on Form 10-K of Palo Alto Networks, Inc. for the fiscal year ended July 31, 2025,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2129" w:type="dxa"/>
        <w:jc w:val="left"/>
        <w:tblInd w:w="0" w:type="dxa"/>
        <w:tblLayout w:type="fixed"/>
        <w:tblCellMar>
          <w:top w:w="28" w:type="dxa"/>
          <w:left w:w="28" w:type="dxa"/>
          <w:bottom w:w="28" w:type="dxa"/>
          <w:right w:w="28" w:type="dxa"/>
        </w:tblCellMar>
      </w:tblPr>
      <w:tblGrid>
        <w:gridCol w:w="681"/>
        <w:gridCol w:w="599"/>
        <w:gridCol w:w="849"/>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DIPAK GOLECHHA</w:t>
            </w:r>
            <w:r>
              <w:rPr>
                <w:color w:val="000000"/>
              </w:rPr>
              <w:t xml:space="preserve"> </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Date: August 29, 2025</w:t>
      </w:r>
    </w:p>
    <w:p>
      <w:pPr>
        <w:pStyle w:val="TextBody"/>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SemiBold">
    <w:altName w:val="sans-serif"/>
    <w:charset w:val="01"/>
    <w:family w:val="auto"/>
    <w:pitch w:val="default"/>
  </w:font>
  <w:font w:name="Montserrat Medium">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327567/000119312525169870/d804159dex21.htm" TargetMode="External"/><Relationship Id="rId4" Type="http://schemas.openxmlformats.org/officeDocument/2006/relationships/hyperlink" Target="https://www.sec.gov/Archives/edgar/data/1327567/000132756725000024/ex31amendedandrestatedbyla.htm" TargetMode="External"/><Relationship Id="rId5" Type="http://schemas.openxmlformats.org/officeDocument/2006/relationships/hyperlink" Target="https://www.sec.gov/Archives/edgar/data/1327567/000132756716000057/ex31certificateofchangeofr.htm" TargetMode="External"/><Relationship Id="rId6" Type="http://schemas.openxmlformats.org/officeDocument/2006/relationships/hyperlink" Target="https://www.sec.gov/Archives/edgar/data/1327567/000119312512296699/d318373dex101.htm" TargetMode="External"/><Relationship Id="rId7" Type="http://schemas.openxmlformats.org/officeDocument/2006/relationships/hyperlink" Target="https://www.sec.gov/Archives/edgar/data/0001327567/000132756719000038/panwex102q1202012eip.htm" TargetMode="External"/><Relationship Id="rId8" Type="http://schemas.openxmlformats.org/officeDocument/2006/relationships/hyperlink" Target="https://www.sec.gov/Archives/edgar/data/1327567/000132756721000040/panw-ex104q122.htm" TargetMode="External"/><Relationship Id="rId9" Type="http://schemas.openxmlformats.org/officeDocument/2006/relationships/hyperlink" Target="https://www.sec.gov/Archives/edgar/data/1327567/000119312518303084/d634580dex991.htm" TargetMode="External"/><Relationship Id="rId10" Type="http://schemas.openxmlformats.org/officeDocument/2006/relationships/hyperlink" Target="https://www.sec.gov/Archives/edgar/data/1327567/000119312518303084/d634580dex991.htm" TargetMode="External"/><Relationship Id="rId11" Type="http://schemas.openxmlformats.org/officeDocument/2006/relationships/hyperlink" Target="https://www.sec.gov/Archives/edgar/data/1327567/000119312522310112/d424580dex991.htm" TargetMode="External"/><Relationship Id="rId12" Type="http://schemas.openxmlformats.org/officeDocument/2006/relationships/hyperlink" Target="https://www.sec.gov/Archives/edgar/data/1327567/000119312522310112/d424580dex992.htm" TargetMode="External"/><Relationship Id="rId13" Type="http://schemas.openxmlformats.org/officeDocument/2006/relationships/hyperlink" Target="https://www.sec.gov/Archives/edgar/data/1327567/000132756714000043/panwex102q115.htm" TargetMode="External"/><Relationship Id="rId14" Type="http://schemas.openxmlformats.org/officeDocument/2006/relationships/hyperlink" Target="https://www.sec.gov/Archives/edgar/data/1327567/000132756724000029/panwex1016amendedclawbackp.htm" TargetMode="External"/><Relationship Id="rId15" Type="http://schemas.openxmlformats.org/officeDocument/2006/relationships/hyperlink" Target="https://www.sec.gov/Archives/edgar/data/1327567/000132756725000017/panwex101q325.htm" TargetMode="External"/><Relationship Id="rId16" Type="http://schemas.openxmlformats.org/officeDocument/2006/relationships/hyperlink" Target="https://www.sec.gov/Archives/edgar/data/1327567/000132756722000016/panw-ex103q322.htm" TargetMode="External"/><Relationship Id="rId17" Type="http://schemas.openxmlformats.org/officeDocument/2006/relationships/hyperlink" Target="https://www.sec.gov/Archives/edgar/data/1327567/000132756722000028/panwex1023q422deferredcomp.htm" TargetMode="External"/><Relationship Id="rId18" Type="http://schemas.openxmlformats.org/officeDocument/2006/relationships/hyperlink" Target="https://www.sec.gov/Archives/edgar/data/1327567/000132756718000011/ex102offerletternarora.htm" TargetMode="External"/><Relationship Id="rId19" Type="http://schemas.openxmlformats.org/officeDocument/2006/relationships/hyperlink" Target="https://www.sec.gov/Archives/edgar/data/1327567/000119312521267862/d200133dex101.htm" TargetMode="External"/><Relationship Id="rId20" Type="http://schemas.openxmlformats.org/officeDocument/2006/relationships/hyperlink" Target="https://www.sec.gov/Archives/edgar/data/1327567/000132756718000031/panwex104q119.htm" TargetMode="External"/><Relationship Id="rId21" Type="http://schemas.openxmlformats.org/officeDocument/2006/relationships/hyperlink" Target="https://www.sec.gov/Archives/edgar/data/0001327567/000119312521087516/d160663dex101.htm" TargetMode="External"/><Relationship Id="rId22" Type="http://schemas.openxmlformats.org/officeDocument/2006/relationships/hyperlink" Target="https://www.sec.gov/Archives/edgar/data/1327567/000132756722000016/panw-ex101q322.htm" TargetMode="External"/><Relationship Id="rId23" Type="http://schemas.openxmlformats.org/officeDocument/2006/relationships/hyperlink" Target="https://www.sec.gov/Archives/edgar/data/1327567/000119312521244832/d204334dex101.htm" TargetMode="External"/><Relationship Id="rId24" Type="http://schemas.openxmlformats.org/officeDocument/2006/relationships/hyperlink" Target="https://www.sec.gov/Archives/edgar/data/1327567/000132756722000016/panw-ex102q322.htm" TargetMode="External"/><Relationship Id="rId25" Type="http://schemas.openxmlformats.org/officeDocument/2006/relationships/hyperlink" Target="https://www.sec.gov/Archives/edgar/data/1327567/000132756725000017/panwex102q325.htm" TargetMode="External"/><Relationship Id="rId26" Type="http://schemas.openxmlformats.org/officeDocument/2006/relationships/hyperlink" Target="https://www.sec.gov/Archives/edgar/data/1327567/000132756719000016/panwex101q319.htm" TargetMode="External"/><Relationship Id="rId27" Type="http://schemas.openxmlformats.org/officeDocument/2006/relationships/hyperlink" Target="https://www.sec.gov/Archives/edgar/data/1327567/000132756721000029/panwex1029q421supplieragre.htm" TargetMode="External"/><Relationship Id="rId28" Type="http://schemas.openxmlformats.org/officeDocument/2006/relationships/hyperlink" Target="https://www.sec.gov/Archives/edgar/data/1327567/000132756715000027/panwex1029q415buildinge.htm" TargetMode="External"/><Relationship Id="rId29" Type="http://schemas.openxmlformats.org/officeDocument/2006/relationships/hyperlink" Target="https://www.sec.gov/Archives/edgar/data/1327567/000132756715000027/panwex1030q415buidlingf.htm" TargetMode="External"/><Relationship Id="rId30" Type="http://schemas.openxmlformats.org/officeDocument/2006/relationships/hyperlink" Target="https://www.sec.gov/Archives/edgar/data/1327567/000132756715000027/panwex1031q415buildingb.htm" TargetMode="External"/><Relationship Id="rId31" Type="http://schemas.openxmlformats.org/officeDocument/2006/relationships/hyperlink" Target="https://www.sec.gov/Archives/edgar/data/1327567/000119312515347005/d59912dex101.htm" TargetMode="External"/><Relationship Id="rId32" Type="http://schemas.openxmlformats.org/officeDocument/2006/relationships/hyperlink" Target="https://www.sec.gov/Archives/edgar/data/1327567/000132756715000036/amendmentno1topaloaltonetw.htm" TargetMode="External"/><Relationship Id="rId33" Type="http://schemas.openxmlformats.org/officeDocument/2006/relationships/hyperlink" Target="https://www.sec.gov/Archives/edgar/data/1327567/000132756715000036/amendmenno1topaloaltonetwo.htm" TargetMode="External"/><Relationship Id="rId34" Type="http://schemas.openxmlformats.org/officeDocument/2006/relationships/hyperlink" Target="https://www.sec.gov/Archives/edgar/data/1327567/000132756716000073/panwex101q117_amendmentno1.htm" TargetMode="External"/><Relationship Id="rId35" Type="http://schemas.openxmlformats.org/officeDocument/2006/relationships/hyperlink" Target="https://www.sec.gov/Archives/edgar/data/1327567/000132756716000073/panwex102q117_amendmentno1.htm" TargetMode="External"/><Relationship Id="rId36" Type="http://schemas.openxmlformats.org/officeDocument/2006/relationships/hyperlink" Target="https://www.sec.gov/Archives/edgar/data/1327567/000132756716000073/panwex103q117_amendmentno2.htm" TargetMode="External"/><Relationship Id="rId37" Type="http://schemas.openxmlformats.org/officeDocument/2006/relationships/hyperlink" Target="https://www.sec.gov/Archives/edgar/data/1327567/000132756717000007/panwex101q217_amendmentno2.htm" TargetMode="External"/><Relationship Id="rId38" Type="http://schemas.openxmlformats.org/officeDocument/2006/relationships/hyperlink" Target="https://www.sec.gov/Archives/edgar/data/1327567/000132756717000007/panwex102q217_amendmentno2.htm" TargetMode="External"/><Relationship Id="rId39" Type="http://schemas.openxmlformats.org/officeDocument/2006/relationships/hyperlink" Target="https://www.sec.gov/Archives/edgar/data/1327567/000132756717000007/panwex103q217_amendmentno3.htm" TargetMode="External"/><Relationship Id="rId40" Type="http://schemas.openxmlformats.org/officeDocument/2006/relationships/hyperlink" Target="https://www.sec.gov/Archives/edgar/data/1327567/000132756717000027/panwex1040q417_amendmentno.htm" TargetMode="External"/><Relationship Id="rId41" Type="http://schemas.openxmlformats.org/officeDocument/2006/relationships/hyperlink" Target="https://www.sec.gov/Archives/edgar/data/1327567/000132756717000027/panwex1041q417_amendmentno.htm" TargetMode="External"/><Relationship Id="rId42" Type="http://schemas.openxmlformats.org/officeDocument/2006/relationships/hyperlink" Target="https://www.sec.gov/Archives/edgar/data/1327567/000132756717000027/panwex1042q417_amendmentno.htm" TargetMode="External"/><Relationship Id="rId43" Type="http://schemas.openxmlformats.org/officeDocument/2006/relationships/hyperlink" Target="https://www.sec.gov/Archives/edgar/data/1327567/000132756717000035/panwex105q118_amendmentno4.htm" TargetMode="External"/><Relationship Id="rId44" Type="http://schemas.openxmlformats.org/officeDocument/2006/relationships/hyperlink" Target="https://www.sec.gov/Archives/edgar/data/1327567/000132756717000035/panwex106q118_amendmentno4.htm" TargetMode="External"/><Relationship Id="rId45" Type="http://schemas.openxmlformats.org/officeDocument/2006/relationships/hyperlink" Target="https://www.sec.gov/Archives/edgar/data/1327567/000132756717000035/panwex107q118_amendmentno5.htm" TargetMode="External"/><Relationship Id="rId46" Type="http://schemas.openxmlformats.org/officeDocument/2006/relationships/hyperlink" Target="https://www.sec.gov/Archives/edgar/data/1327567/000132756723000009/ex101creditagreementq323.htm" TargetMode="External"/><Relationship Id="rId47" Type="http://schemas.openxmlformats.org/officeDocument/2006/relationships/hyperlink" Target="https://www.sec.gov/Archives/edgar/data/1327567/000132756725000010/panwex103creditagreement-a.htm" TargetMode="External"/><Relationship Id="rId48" Type="http://schemas.openxmlformats.org/officeDocument/2006/relationships/hyperlink" Target="https://www.sec.gov/Archives/edgar/data/1327567/000119312520163579/d936599dex103.htm" TargetMode="External"/><Relationship Id="rId49" Type="http://schemas.openxmlformats.org/officeDocument/2006/relationships/hyperlink" Target="https://www.sec.gov/Archives/edgar/data/1327567/000119312520163579/d936599dex103.htm" TargetMode="External"/><Relationship Id="rId50" Type="http://schemas.openxmlformats.org/officeDocument/2006/relationships/hyperlink" Target="https://www.sec.gov/Archives/edgar/data/1327567/000132756724000029/panwex971compensationrecov.htm" TargetMode="External"/><Relationship Id="rId51" Type="http://schemas.openxmlformats.org/officeDocument/2006/relationships/image" Target="media/image2.jpeg"/><Relationship Id="rId52" Type="http://schemas.openxmlformats.org/officeDocument/2006/relationships/image" Target="media/image3.jpeg"/><Relationship Id="rId53" Type="http://schemas.openxmlformats.org/officeDocument/2006/relationships/image" Target="media/image3.jpeg"/><Relationship Id="rId54" Type="http://schemas.openxmlformats.org/officeDocument/2006/relationships/image" Target="media/image2.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158509</Words>
  <Characters>873280</Characters>
  <CharactersWithSpaces>1026895</CharactersWithSpaces>
  <Paragraphs>7730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