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75159ds8.htm"/>
      <w:bookmarkStart w:id="1" w:name="ksd175159ds8"/>
      <w:bookmarkEnd w:id="0"/>
      <w:bookmarkEnd w:id="1"/>
      <w:r>
        <w:rPr>
          <w:rFonts w:ascii="Times New Roman" w:hAnsi="Times New Roman"/>
          <w:b/>
          <w:sz w:val="20"/>
        </w:rPr>
        <w:t xml:space="preserve">As filed with the Securities and Exchange Commission on September 10,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Palo Alto Networks,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20-2530195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3000 Tannery Way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California 95054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2012 Employee Stock Purchase Plan, as Amended and Restated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Nikesh Arora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Palo Alto Networks, Inc. </w:t>
      </w:r>
    </w:p>
    <w:p>
      <w:pPr>
        <w:pStyle w:val="TextBody"/>
        <w:bidi w:val="0"/>
        <w:spacing w:before="0" w:after="0"/>
        <w:jc w:val="center"/>
        <w:rPr>
          <w:rFonts w:ascii="Times New Roman" w:hAnsi="Times New Roman"/>
          <w:b/>
          <w:sz w:val="20"/>
        </w:rPr>
      </w:pPr>
      <w:r>
        <w:rPr>
          <w:rFonts w:ascii="Times New Roman" w:hAnsi="Times New Roman"/>
          <w:b/>
          <w:sz w:val="20"/>
        </w:rPr>
        <w:t xml:space="preserve">3000 Tannery Way </w:t>
      </w:r>
    </w:p>
    <w:p>
      <w:pPr>
        <w:pStyle w:val="TextBody"/>
        <w:bidi w:val="0"/>
        <w:spacing w:before="0" w:after="0"/>
        <w:jc w:val="center"/>
        <w:rPr>
          <w:rFonts w:ascii="Times New Roman" w:hAnsi="Times New Roman"/>
          <w:b/>
          <w:sz w:val="20"/>
        </w:rPr>
      </w:pPr>
      <w:r>
        <w:rPr>
          <w:rFonts w:ascii="Times New Roman" w:hAnsi="Times New Roman"/>
          <w:b/>
          <w:sz w:val="20"/>
        </w:rPr>
        <w:t xml:space="preserve">Santa Clara, California 95054 </w:t>
      </w:r>
    </w:p>
    <w:p>
      <w:pPr>
        <w:pStyle w:val="TextBody"/>
        <w:bidi w:val="0"/>
        <w:spacing w:before="0" w:after="0"/>
        <w:jc w:val="center"/>
        <w:rPr>
          <w:rFonts w:ascii="Times New Roman" w:hAnsi="Times New Roman"/>
          <w:b/>
          <w:sz w:val="20"/>
        </w:rPr>
      </w:pPr>
      <w:r>
        <w:rPr>
          <w:rFonts w:ascii="Times New Roman" w:hAnsi="Times New Roman"/>
          <w:b/>
          <w:sz w:val="20"/>
        </w:rPr>
        <w:t xml:space="preserve">(408) 753-4000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Julia A. Thompson</w:t>
              <w:br/>
              <w:t>Latham &amp; Watkins LLP</w:t>
              <w:br/>
              <w:t>555 11th Street, NW</w:t>
              <w:br/>
              <w:t>Suite 1000</w:t>
              <w:br/>
              <w:t>Washington, DC 20004</w:t>
              <w:br/>
              <w:t>(202) 637-2200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20"/>
              </w:rPr>
            </w:pPr>
            <w:r>
              <w:rPr>
                <w:rFonts w:ascii="Times New Roman" w:hAnsi="Times New Roman"/>
                <w:b/>
                <w:sz w:val="20"/>
              </w:rPr>
              <w:t>Bruce Byrd</w:t>
            </w:r>
          </w:p>
          <w:p>
            <w:pPr>
              <w:pStyle w:val="TableContents"/>
              <w:bidi w:val="0"/>
              <w:spacing w:before="0" w:after="20"/>
              <w:jc w:val="center"/>
              <w:rPr>
                <w:rFonts w:ascii="Times New Roman" w:hAnsi="Times New Roman"/>
                <w:b/>
                <w:sz w:val="20"/>
              </w:rPr>
            </w:pPr>
            <w:r>
              <w:rPr>
                <w:rFonts w:ascii="Times New Roman" w:hAnsi="Times New Roman"/>
                <w:b/>
                <w:sz w:val="20"/>
              </w:rPr>
              <w:t>Executive Vice President, General Counsel and Secretary</w:t>
              <w:br/>
              <w:t>Palo Alto Networks, Inc.</w:t>
              <w:br/>
              <w:t>3000 Tannery Way</w:t>
              <w:br/>
              <w:t>Santa Clara, California 95054</w:t>
              <w:br/>
              <w:t>(408) 753-4000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Palo Alto Networks, Inc. (the “</w:t>
      </w:r>
      <w:r>
        <w:rPr>
          <w:rFonts w:ascii="Times New Roman" w:hAnsi="Times New Roman"/>
          <w:b/>
          <w:sz w:val="20"/>
        </w:rPr>
        <w:t>Registrant</w:t>
      </w:r>
      <w:r>
        <w:rPr>
          <w:rFonts w:ascii="Times New Roman" w:hAnsi="Times New Roman"/>
          <w:sz w:val="20"/>
        </w:rPr>
        <w:t>”) is filing this Registration Statement on Form S-8 (this “</w:t>
      </w:r>
      <w:r>
        <w:rPr>
          <w:rFonts w:ascii="Times New Roman" w:hAnsi="Times New Roman"/>
          <w:b/>
          <w:sz w:val="20"/>
        </w:rPr>
        <w:t>Registration Statement</w:t>
      </w:r>
      <w:r>
        <w:rPr>
          <w:rFonts w:ascii="Times New Roman" w:hAnsi="Times New Roman"/>
          <w:sz w:val="20"/>
        </w:rPr>
        <w:t>”) with the Securities and Exchange Commission (the “</w:t>
      </w:r>
      <w:r>
        <w:rPr>
          <w:rFonts w:ascii="Times New Roman" w:hAnsi="Times New Roman"/>
          <w:b/>
          <w:sz w:val="20"/>
        </w:rPr>
        <w:t>Commission</w:t>
      </w:r>
      <w:r>
        <w:rPr>
          <w:rFonts w:ascii="Times New Roman" w:hAnsi="Times New Roman"/>
          <w:sz w:val="20"/>
        </w:rPr>
        <w:t>”) to register 8,166,653 additional shares of common stock, par value $0.0001 per share, under the 2012 Employee Stock Purchase Plan, as amended and restated (the “</w:t>
      </w:r>
      <w:r>
        <w:rPr>
          <w:rFonts w:ascii="Times New Roman" w:hAnsi="Times New Roman"/>
          <w:b/>
          <w:sz w:val="20"/>
        </w:rPr>
        <w:t>2012 ESPP</w:t>
      </w:r>
      <w:r>
        <w:rPr>
          <w:rFonts w:ascii="Times New Roman" w:hAnsi="Times New Roman"/>
          <w:sz w:val="20"/>
        </w:rPr>
        <w:t xml:space="preserve">”), in connection with the annual increase in the number of shares reserved for issuance under the 2012 ESPP. </w:t>
      </w:r>
    </w:p>
    <w:p>
      <w:pPr>
        <w:pStyle w:val="TextBody"/>
        <w:bidi w:val="0"/>
        <w:spacing w:before="44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The information specified in Item 1 and Item 2 of Part I of Form S-8 is omitted from this Registration Statement in accordance with the provisions of Rule 428 under the Securities Act of 1933, as amended (the “</w:t>
      </w:r>
      <w:r>
        <w:rPr>
          <w:rFonts w:ascii="Times New Roman" w:hAnsi="Times New Roman"/>
          <w:b/>
          <w:sz w:val="20"/>
        </w:rPr>
        <w:t>Securities Act</w:t>
      </w:r>
      <w:r>
        <w:rPr>
          <w:rFonts w:ascii="Times New Roman" w:hAnsi="Times New Roman"/>
          <w:sz w:val="20"/>
        </w:rPr>
        <w:t xml:space="preserve">”), and the introductory note to Part I of Form S-8. The documents containing the information specified in Part I of Form S-8 will be delivered to the participants in the 2012 ESPP as specified by Rule 428(b)(1) under the Securities Act. </w:t>
      </w:r>
    </w:p>
    <w:p>
      <w:pPr>
        <w:pStyle w:val="TextBody"/>
        <w:bidi w:val="0"/>
        <w:spacing w:before="44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The Registrant hereby incorporates by reference into this Registration Statement the following documents previously filed with the Commission (excluding any portions of such documents that have been “furnished” but not “filed” for purposes of the Securities Exchange Act of 1934, as amended (the “</w:t>
      </w:r>
      <w:r>
        <w:rPr>
          <w:rFonts w:ascii="Times New Roman" w:hAnsi="Times New Roman"/>
          <w:b/>
          <w:sz w:val="20"/>
        </w:rPr>
        <w:t>Exchange Act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pPr>
            <w:r>
              <w:rPr>
                <w:rFonts w:ascii="Times New Roman" w:hAnsi="Times New Roman"/>
                <w:sz w:val="20"/>
              </w:rPr>
              <w:t xml:space="preserve">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July 31, 2026 filed with the Commission on September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2" w:type="dxa"/>
            <w:tcBorders/>
          </w:tcPr>
          <w:p>
            <w:pPr>
              <w:pStyle w:val="TableContents"/>
              <w:bidi w:val="0"/>
              <w:spacing w:before="0" w:after="0"/>
              <w:jc w:val="left"/>
              <w:rPr/>
            </w:pPr>
            <w:r>
              <w:rPr>
                <w:rFonts w:ascii="Times New Roman" w:hAnsi="Times New Roman"/>
                <w:sz w:val="20"/>
              </w:rPr>
              <w:t xml:space="preserve">The Registrant’s Current Report on </w:t>
            </w:r>
            <w:hyperlink r:id="rId3">
              <w:r>
                <w:rPr>
                  <w:rStyle w:val="InternetLink"/>
                  <w:rFonts w:ascii="Times New Roman" w:hAnsi="Times New Roman"/>
                  <w:sz w:val="20"/>
                </w:rPr>
                <w:t>Form 8-K</w:t>
              </w:r>
            </w:hyperlink>
            <w:r>
              <w:rPr>
                <w:rFonts w:ascii="Times New Roman" w:hAnsi="Times New Roman"/>
                <w:sz w:val="20"/>
              </w:rPr>
              <w:t xml:space="preserve"> filed with the Commission on August 21,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pPr>
            <w:r>
              <w:rPr>
                <w:rFonts w:ascii="Times New Roman" w:hAnsi="Times New Roman"/>
                <w:sz w:val="20"/>
              </w:rPr>
              <w:t xml:space="preserve">The description of the Registrant’s Common Stock contained in </w:t>
            </w:r>
            <w:hyperlink r:id="rId4">
              <w:r>
                <w:rPr>
                  <w:rStyle w:val="InternetLink"/>
                  <w:rFonts w:ascii="Times New Roman" w:hAnsi="Times New Roman"/>
                  <w:sz w:val="20"/>
                </w:rPr>
                <w:t>Exhibit 4.1</w:t>
              </w:r>
            </w:hyperlink>
            <w:r>
              <w:rPr>
                <w:rFonts w:ascii="Times New Roman" w:hAnsi="Times New Roman"/>
                <w:sz w:val="20"/>
              </w:rPr>
              <w:t xml:space="preserve"> to the Registrant’s 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July 31, 2025, filed on August 29, 2025, together with any subsequent amendment or any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0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0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0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Section 145 of the General Corporation Law of the State of Delaware (“</w:t>
      </w:r>
      <w:r>
        <w:rPr>
          <w:rFonts w:ascii="Times New Roman" w:hAnsi="Times New Roman"/>
          <w:b/>
          <w:sz w:val="20"/>
        </w:rPr>
        <w:t>DGCL</w:t>
      </w:r>
      <w:r>
        <w:rPr>
          <w:rFonts w:ascii="Times New Roman" w:hAnsi="Times New Roman"/>
          <w:sz w:val="20"/>
        </w:rPr>
        <w:t xml:space="preserve">”) authorizes a corporation’s board of directors to grant, and authorizes a court to award, indemnity to officers, directors and other corporate agents under certain circumstances. </w:t>
      </w:r>
    </w:p>
    <w:p>
      <w:pPr>
        <w:pStyle w:val="TextBody"/>
        <w:bidi w:val="0"/>
        <w:spacing w:before="240" w:after="0"/>
        <w:jc w:val="left"/>
        <w:rPr>
          <w:rFonts w:ascii="Times New Roman" w:hAnsi="Times New Roman"/>
          <w:sz w:val="20"/>
        </w:rPr>
      </w:pPr>
      <w:r>
        <w:rPr>
          <w:rFonts w:ascii="Times New Roman" w:hAnsi="Times New Roman"/>
          <w:sz w:val="20"/>
        </w:rPr>
        <w:t>As permitted by Section 102(b)(7) of the DGCL, the Registrant’s restated certificate of incorporation, as amended (the “</w:t>
      </w:r>
      <w:r>
        <w:rPr>
          <w:rFonts w:ascii="Times New Roman" w:hAnsi="Times New Roman"/>
          <w:b/>
          <w:sz w:val="20"/>
        </w:rPr>
        <w:t>amended and restated certificate of incorporation</w:t>
      </w:r>
      <w:r>
        <w:rPr>
          <w:rFonts w:ascii="Times New Roman" w:hAnsi="Times New Roman"/>
          <w:sz w:val="20"/>
        </w:rPr>
        <w:t xml:space="preserve">”) includes provisions that may eliminate the personal liability of its directors for monetary damages resulting from breaches of their fiduciary duties as directors to the fullest extent permitted by applicable law. In addition, the certificate of incorporation provides that the Registrant is required to indemnify, to the fullest extent permitted by applicable law, any director or officer of the Registrant who is or was a party or is threatened to be made a party to any proceeding (other than a proceeding by or in the right of the Registrant that has not been approved by the Registrant’s board of directors) by reason of the fact that he or she is or was serving in such capacity or is or was serving at the request of the Registrant as a director, officer, employee or agent of another entity, against expenses, judgments and other amounts paid in settlement actually and reasonably incurred by such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as permitted by Section 145 of the DGCL, the amended and restated certificate of incorporation and amended and restated bylaws of the Registrant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required to indemnify, to the fullest extent permitted by applicable law, any director or officer of the Registrant who was or is a party or is threatened to be made a party to any proceeding (other than a proceeding by or in the right of the Registrant) by reason of the fact that he or she is or was serving in such capacity or is or was serving at the request of the Registrant as a director, officer, employee or agent of another entity, against expenses, judgments and other amounts paid in settlement actually and reasonably incurred by such person if such person acted in good faith and in a manner such person reasonably believed to be in or not opposed to the best interests of the Registrant, and, with respect to any criminal action or proceeding, had no reasonable cause to believe such person’s conduct was unlawful;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required to indemnify, to the fullest extent permitted by applicable law, any person who was or is a party or is threatened to be made a party to any threatened, pending or completed proceeding by or in the right of the Registrant to procure a judgment in its favor by reason of the fact that such person is or was a director or officer of the Registrant or is or was serving at the request of the Registrant as a director, officer, employee or agent of another entity, against expenses actually and reasonably incurred by such person in connection with the defense or settlement of such proceeding if such person acted in good faith and in a manner such person reasonably believed to be in or not opposed to the best interests of the Registrant, unless the court in which such proceeding is brought determines that such person is liable to the Registrant and does not determine that, despite such liability, such person is fairly and reasonably entitled to indemnification for such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required to advance expenses, as incurred, to its directors and officers in connection with defending a proceeding, </w:t>
            </w:r>
            <w:r>
              <w:rPr>
                <w:rFonts w:ascii="Times New Roman" w:hAnsi="Times New Roman"/>
                <w:i/>
                <w:sz w:val="20"/>
              </w:rPr>
              <w:t>provided</w:t>
            </w:r>
            <w:r>
              <w:rPr>
                <w:rFonts w:ascii="Times New Roman" w:hAnsi="Times New Roman"/>
                <w:sz w:val="20"/>
              </w:rPr>
              <w:t xml:space="preserve"> that such director or officer must undertake to repay such advances if it is ultimately determined that such person is not entitled to indemnification;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in the amended and restated certificate of incorporation and the amended and restated bylaws are not exclusive, and the Registrant is authorized to enter into indemnification agreements with its directors and officers and to obtain insurance to indemnify such persons.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Registrant’s policy is to enter into separate indemnification agreements with each of its directors and officers that require the Registrant to indemnify its directors and officers, to the maximum extent permitted by applicable law, and also provide for certain procedural protections.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obligations described above may be sufficiently broad to permit the indemnification of the Registrant’s directors and officers for liabilities (including reimbursement for expenses incurred)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6"/>
        <w:gridCol w:w="412"/>
        <w:gridCol w:w="8897"/>
      </w:tblGrid>
      <w:tr>
        <w:trPr/>
        <w:tc>
          <w:tcPr>
            <w:tcW w:w="896"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8897" w:type="dxa"/>
            <w:tcBorders/>
            <w:vAlign w:val="center"/>
          </w:tcPr>
          <w:p>
            <w:pPr>
              <w:pStyle w:val="TableContents"/>
              <w:bidi w:val="0"/>
              <w:spacing w:before="0" w:after="283"/>
              <w:jc w:val="left"/>
              <w:rPr>
                <w:sz w:val="4"/>
                <w:szCs w:val="4"/>
              </w:rPr>
            </w:pPr>
            <w:r>
              <w:rPr>
                <w:sz w:val="4"/>
                <w:szCs w:val="4"/>
              </w:rPr>
            </w:r>
          </w:p>
        </w:tc>
      </w:tr>
      <w:tr>
        <w:trPr/>
        <w:tc>
          <w:tcPr>
            <w:tcW w:w="89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12" w:type="dxa"/>
            <w:tcBorders/>
            <w:vAlign w:val="bottom"/>
          </w:tcPr>
          <w:p>
            <w:pPr>
              <w:pStyle w:val="TableContents"/>
              <w:bidi w:val="0"/>
              <w:spacing w:before="0" w:after="283"/>
              <w:jc w:val="left"/>
              <w:rPr/>
            </w:pPr>
            <w:r>
              <w:rPr/>
              <w:t>  </w:t>
            </w:r>
          </w:p>
        </w:tc>
        <w:tc>
          <w:tcPr>
            <w:tcW w:w="88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w:t>
              <w:br/>
              <w:t>Description</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4.1</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6">
              <w:r>
                <w:rPr>
                  <w:rStyle w:val="InternetLink"/>
                </w:rPr>
                <w:t xml:space="preserve">Restated Certificate of Incorporation of Palo Alto Networks, Inc., as amended (incorporated by reference to Exhibit 3.1 to the Registrant’s Annual Report on Form 10-K for the fiscal year ended July 31, 2025, as filed with the Commission on August 29, 2025).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4.2</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7">
              <w:r>
                <w:rPr>
                  <w:rStyle w:val="InternetLink"/>
                </w:rPr>
                <w:t xml:space="preserve">Amended and Restated Bylaws of Palo Alto Networks, Inc. (incorporated by reference to Exhibit 3.1 to the Registrant’s Current Report on Form 8-K filed with the Commission on August 21, 2026).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4.3</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8">
              <w:r>
                <w:rPr>
                  <w:rStyle w:val="InternetLink"/>
                </w:rPr>
                <w:t xml:space="preserve">Specimen common stock certificate of the Registrant (incorporated by reference to Exhibit 4.1 to the Registrant’s Registration Statement on Form S-1 (Registration No. 333-180620), as declared effective by the Commission on July 19, 2012).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5.1</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w:anchor="d175159dex51.htm">
              <w:r>
                <w:rPr>
                  <w:rStyle w:val="InternetLink"/>
                </w:rPr>
                <w:t xml:space="preserve">Opinion of Latham &amp; Watkins LLP.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23.1</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w:anchor="d175159dex231.htm">
              <w:r>
                <w:rPr>
                  <w:rStyle w:val="InternetLink"/>
                </w:rPr>
                <w:t xml:space="preserve">Consent of Ernst &amp; Young LLP, Independent Registered Public Accounting Firm.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23.2</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w:anchor="d175159dex51.htm">
              <w:r>
                <w:rPr>
                  <w:rStyle w:val="InternetLink"/>
                </w:rPr>
                <w:t xml:space="preserve">Consent of Latham &amp; Watkins LLP (contained in Exhibit 5.1 hereto).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24.1</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w:anchor="tx175159_sig">
              <w:r>
                <w:rPr>
                  <w:rStyle w:val="InternetLink"/>
                </w:rPr>
                <w:t xml:space="preserve">Power of Attorney (contained on signature page hereto).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99.1</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9">
              <w:r>
                <w:rPr>
                  <w:rStyle w:val="InternetLink"/>
                </w:rPr>
                <w:t>2012 Employee Stock Purchase Plan, as amended and restated, and related form agreements (incorporated by reference to Exhibit 10.6 to the Registrant’s Annual Report on Form 10-K for the fiscal year ended July 31, 2026 as filed with the Commission on September 10, 2026).</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107</w:t>
            </w:r>
          </w:p>
        </w:tc>
        <w:tc>
          <w:tcPr>
            <w:tcW w:w="412"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w:anchor="d175159dexfilingfees.htm">
              <w:r>
                <w:rPr>
                  <w:rStyle w:val="InternetLink"/>
                </w:rPr>
                <w:t xml:space="preserve">Calculation of Filing Fee Table. </w:t>
              </w:r>
            </w:hyperlink>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175159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September 10,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PALO ALTO NETWORKS,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NIKESH ARORA</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Nikesh Arora</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i/>
              </w:rPr>
            </w:pPr>
            <w:r>
              <w:rPr>
                <w:i/>
              </w:rPr>
              <w:t>Chairman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Nikesh Arora, Dipak Golechha, and Bruce Byrd, and each of them, as his or her true and lawful attorney-in-fact and agent, with full power of substitution and resubstitution, for him or her and in his or her name, place and stead, in any and all capacities, to sign any and all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66"/>
        <w:gridCol w:w="120"/>
        <w:gridCol w:w="4179"/>
        <w:gridCol w:w="104"/>
        <w:gridCol w:w="1936"/>
      </w:tblGrid>
      <w:tr>
        <w:trPr/>
        <w:tc>
          <w:tcPr>
            <w:tcW w:w="38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7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8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1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4" w:type="dxa"/>
            <w:tcBorders/>
            <w:vAlign w:val="bottom"/>
          </w:tcPr>
          <w:p>
            <w:pPr>
              <w:pStyle w:val="TableContents"/>
              <w:bidi w:val="0"/>
              <w:spacing w:before="0" w:after="283"/>
              <w:jc w:val="left"/>
              <w:rPr/>
            </w:pPr>
            <w:r>
              <w:rPr/>
              <w:t> </w:t>
            </w:r>
          </w:p>
        </w:tc>
        <w:tc>
          <w:tcPr>
            <w:tcW w:w="19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NIKESH ARORA</w:t>
            </w:r>
          </w:p>
          <w:p>
            <w:pPr>
              <w:pStyle w:val="TableContents"/>
              <w:bidi w:val="0"/>
              <w:spacing w:before="0" w:after="20"/>
              <w:jc w:val="left"/>
              <w:rPr>
                <w:rFonts w:ascii="Times New Roman" w:hAnsi="Times New Roman"/>
                <w:sz w:val="20"/>
              </w:rPr>
            </w:pPr>
            <w:r>
              <w:rPr>
                <w:rFonts w:ascii="Times New Roman" w:hAnsi="Times New Roman"/>
                <w:sz w:val="20"/>
              </w:rPr>
              <w:t>Nikesh Arora</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Chairman, Chief Executive Officer and Director (Principal Executive Officer)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DIPAK GOLECHHA</w:t>
            </w:r>
          </w:p>
          <w:p>
            <w:pPr>
              <w:pStyle w:val="TableContents"/>
              <w:bidi w:val="0"/>
              <w:spacing w:before="0" w:after="20"/>
              <w:jc w:val="left"/>
              <w:rPr>
                <w:rFonts w:ascii="Times New Roman" w:hAnsi="Times New Roman"/>
                <w:sz w:val="20"/>
              </w:rPr>
            </w:pPr>
            <w:r>
              <w:rPr>
                <w:rFonts w:ascii="Times New Roman" w:hAnsi="Times New Roman"/>
                <w:sz w:val="20"/>
              </w:rPr>
              <w:t>Dipak Golechha</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Chief Financial Officer (Principal Financial Officer)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JOSH PAUL</w:t>
            </w:r>
          </w:p>
          <w:p>
            <w:pPr>
              <w:pStyle w:val="TableContents"/>
              <w:bidi w:val="0"/>
              <w:spacing w:before="0" w:after="20"/>
              <w:jc w:val="left"/>
              <w:rPr>
                <w:rFonts w:ascii="Times New Roman" w:hAnsi="Times New Roman"/>
                <w:sz w:val="20"/>
              </w:rPr>
            </w:pPr>
            <w:r>
              <w:rPr>
                <w:rFonts w:ascii="Times New Roman" w:hAnsi="Times New Roman"/>
                <w:sz w:val="20"/>
              </w:rPr>
              <w:t>Josh Paul</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Chief Accounting Officer (Principal Accounting Officer)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LEE KLARICH</w:t>
            </w:r>
          </w:p>
          <w:p>
            <w:pPr>
              <w:pStyle w:val="TableContents"/>
              <w:bidi w:val="0"/>
              <w:spacing w:before="0" w:after="20"/>
              <w:jc w:val="left"/>
              <w:rPr>
                <w:rFonts w:ascii="Times New Roman" w:hAnsi="Times New Roman"/>
                <w:sz w:val="20"/>
              </w:rPr>
            </w:pPr>
            <w:r>
              <w:rPr>
                <w:rFonts w:ascii="Times New Roman" w:hAnsi="Times New Roman"/>
                <w:sz w:val="20"/>
              </w:rPr>
              <w:t>Lee Klarich</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Chief Product and Technology Officer and 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APARNA BAWA</w:t>
            </w:r>
          </w:p>
          <w:p>
            <w:pPr>
              <w:pStyle w:val="TableContents"/>
              <w:bidi w:val="0"/>
              <w:spacing w:before="0" w:after="20"/>
              <w:jc w:val="left"/>
              <w:rPr>
                <w:rFonts w:ascii="Times New Roman" w:hAnsi="Times New Roman"/>
                <w:sz w:val="20"/>
              </w:rPr>
            </w:pPr>
            <w:r>
              <w:rPr>
                <w:rFonts w:ascii="Times New Roman" w:hAnsi="Times New Roman"/>
                <w:sz w:val="20"/>
              </w:rPr>
              <w:t>Aparna Bawa</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M. DONOVAN</w:t>
            </w:r>
          </w:p>
          <w:p>
            <w:pPr>
              <w:pStyle w:val="TableContents"/>
              <w:bidi w:val="0"/>
              <w:spacing w:before="0" w:after="20"/>
              <w:jc w:val="left"/>
              <w:rPr>
                <w:rFonts w:ascii="Times New Roman" w:hAnsi="Times New Roman"/>
                <w:sz w:val="20"/>
              </w:rPr>
            </w:pPr>
            <w:r>
              <w:rPr>
                <w:rFonts w:ascii="Times New Roman" w:hAnsi="Times New Roman"/>
                <w:sz w:val="20"/>
              </w:rPr>
              <w:t>John M. Donovan</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CARL ESCHENBACH</w:t>
            </w:r>
          </w:p>
          <w:p>
            <w:pPr>
              <w:pStyle w:val="TableContents"/>
              <w:bidi w:val="0"/>
              <w:spacing w:before="0" w:after="20"/>
              <w:jc w:val="left"/>
              <w:rPr>
                <w:rFonts w:ascii="Times New Roman" w:hAnsi="Times New Roman"/>
                <w:sz w:val="20"/>
              </w:rPr>
            </w:pPr>
            <w:r>
              <w:rPr>
                <w:rFonts w:ascii="Times New Roman" w:hAnsi="Times New Roman"/>
                <w:sz w:val="20"/>
              </w:rPr>
              <w:t>Carl Eschenbach</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J. GOETZ</w:t>
            </w:r>
          </w:p>
          <w:p>
            <w:pPr>
              <w:pStyle w:val="TableContents"/>
              <w:bidi w:val="0"/>
              <w:spacing w:before="0" w:after="20"/>
              <w:jc w:val="left"/>
              <w:rPr>
                <w:rFonts w:ascii="Times New Roman" w:hAnsi="Times New Roman"/>
                <w:sz w:val="20"/>
              </w:rPr>
            </w:pPr>
            <w:r>
              <w:rPr>
                <w:rFonts w:ascii="Times New Roman" w:hAnsi="Times New Roman"/>
                <w:sz w:val="20"/>
              </w:rPr>
              <w:t>James J. Goetz</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MARK GOODBURN</w:t>
            </w:r>
          </w:p>
          <w:p>
            <w:pPr>
              <w:pStyle w:val="TableContents"/>
              <w:bidi w:val="0"/>
              <w:spacing w:before="0" w:after="20"/>
              <w:jc w:val="left"/>
              <w:rPr>
                <w:rFonts w:ascii="Times New Roman" w:hAnsi="Times New Roman"/>
                <w:sz w:val="20"/>
              </w:rPr>
            </w:pPr>
            <w:r>
              <w:rPr>
                <w:rFonts w:ascii="Times New Roman" w:hAnsi="Times New Roman"/>
                <w:sz w:val="20"/>
              </w:rPr>
              <w:t>Mark Goodburn</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RT HON SIR JOHN KEY</w:t>
            </w:r>
          </w:p>
          <w:p>
            <w:pPr>
              <w:pStyle w:val="TableContents"/>
              <w:bidi w:val="0"/>
              <w:spacing w:before="0" w:after="20"/>
              <w:jc w:val="left"/>
              <w:rPr>
                <w:rFonts w:ascii="Times New Roman" w:hAnsi="Times New Roman"/>
                <w:sz w:val="20"/>
              </w:rPr>
            </w:pPr>
            <w:r>
              <w:rPr>
                <w:rFonts w:ascii="Times New Roman" w:hAnsi="Times New Roman"/>
                <w:sz w:val="20"/>
              </w:rPr>
              <w:t>Rt Hon Sir John Key</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HELLE THORNING-SCHMIDT</w:t>
            </w:r>
          </w:p>
          <w:p>
            <w:pPr>
              <w:pStyle w:val="TableContents"/>
              <w:bidi w:val="0"/>
              <w:spacing w:before="0" w:after="20"/>
              <w:jc w:val="left"/>
              <w:rPr>
                <w:rFonts w:ascii="Times New Roman" w:hAnsi="Times New Roman"/>
                <w:sz w:val="20"/>
              </w:rPr>
            </w:pPr>
            <w:r>
              <w:rPr>
                <w:rFonts w:ascii="Times New Roman" w:hAnsi="Times New Roman"/>
                <w:sz w:val="20"/>
              </w:rPr>
              <w:t>Helle Thorning-Schmidt</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r>
        <w:trPr>
          <w:trHeight w:val="240" w:hRule="atLeast"/>
        </w:trPr>
        <w:tc>
          <w:tcPr>
            <w:tcW w:w="3866" w:type="dxa"/>
            <w:tcBorders/>
            <w:vAlign w:val="center"/>
          </w:tcPr>
          <w:p>
            <w:pPr>
              <w:pStyle w:val="TableContents"/>
              <w:bidi w:val="0"/>
              <w:spacing w:before="0" w:after="283"/>
              <w:jc w:val="left"/>
              <w:rPr>
                <w:sz w:val="4"/>
                <w:szCs w:val="4"/>
              </w:rPr>
            </w:pPr>
            <w:r>
              <w:rPr>
                <w:sz w:val="4"/>
                <w:szCs w:val="4"/>
              </w:rPr>
            </w:r>
          </w:p>
        </w:tc>
        <w:tc>
          <w:tcPr>
            <w:tcW w:w="4299"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r>
      <w:tr>
        <w:trPr/>
        <w:tc>
          <w:tcPr>
            <w:tcW w:w="38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LORRAINE TWOHILL</w:t>
            </w:r>
          </w:p>
          <w:p>
            <w:pPr>
              <w:pStyle w:val="TableContents"/>
              <w:bidi w:val="0"/>
              <w:spacing w:before="0" w:after="20"/>
              <w:jc w:val="left"/>
              <w:rPr>
                <w:rFonts w:ascii="Times New Roman" w:hAnsi="Times New Roman"/>
                <w:sz w:val="20"/>
              </w:rPr>
            </w:pPr>
            <w:r>
              <w:rPr>
                <w:rFonts w:ascii="Times New Roman" w:hAnsi="Times New Roman"/>
                <w:sz w:val="20"/>
              </w:rPr>
              <w:t>Lorraine Twohill</w:t>
            </w:r>
          </w:p>
        </w:tc>
        <w:tc>
          <w:tcPr>
            <w:tcW w:w="120" w:type="dxa"/>
            <w:tcBorders/>
            <w:vAlign w:val="bottom"/>
          </w:tcPr>
          <w:p>
            <w:pPr>
              <w:pStyle w:val="TableContents"/>
              <w:bidi w:val="0"/>
              <w:spacing w:before="0" w:after="283"/>
              <w:jc w:val="left"/>
              <w:rPr/>
            </w:pPr>
            <w:r>
              <w:rPr/>
              <w:t>  </w:t>
            </w:r>
          </w:p>
        </w:tc>
        <w:tc>
          <w:tcPr>
            <w:tcW w:w="4179" w:type="dxa"/>
            <w:tcBorders/>
          </w:tcPr>
          <w:p>
            <w:pPr>
              <w:pStyle w:val="TableContents"/>
              <w:bidi w:val="0"/>
              <w:spacing w:before="0" w:after="283"/>
              <w:jc w:val="left"/>
              <w:rPr/>
            </w:pPr>
            <w:r>
              <w:rPr/>
              <w:t>Director</w:t>
            </w:r>
          </w:p>
        </w:tc>
        <w:tc>
          <w:tcPr>
            <w:tcW w:w="104" w:type="dxa"/>
            <w:tcBorders/>
            <w:vAlign w:val="bottom"/>
          </w:tcPr>
          <w:p>
            <w:pPr>
              <w:pStyle w:val="TableContents"/>
              <w:bidi w:val="0"/>
              <w:spacing w:before="0" w:after="283"/>
              <w:jc w:val="left"/>
              <w:rPr/>
            </w:pPr>
            <w:r>
              <w:rPr/>
              <w:t> </w:t>
            </w:r>
          </w:p>
        </w:tc>
        <w:tc>
          <w:tcPr>
            <w:tcW w:w="1936" w:type="dxa"/>
            <w:tcBorders/>
          </w:tcPr>
          <w:p>
            <w:pPr>
              <w:pStyle w:val="TableContents"/>
              <w:bidi w:val="0"/>
              <w:spacing w:before="0" w:after="283"/>
              <w:jc w:val="left"/>
              <w:rPr/>
            </w:pPr>
            <w:r>
              <w:rPr/>
              <w:t>September 10, 2026</w:t>
            </w:r>
          </w:p>
        </w:tc>
      </w:tr>
    </w:tbl>
    <w:p>
      <w:pPr>
        <w:pStyle w:val="TextBody"/>
        <w:bidi w:val="0"/>
        <w:spacing w:before="0" w:after="0"/>
        <w:jc w:val="right"/>
        <w:rPr>
          <w:rFonts w:ascii="Times New Roman" w:hAnsi="Times New Roman"/>
          <w:b/>
          <w:sz w:val="20"/>
        </w:rPr>
      </w:pPr>
      <w:bookmarkStart w:id="3" w:name="d175159dex51.htm"/>
      <w:bookmarkStart w:id="4" w:name="ksd175159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76"/>
        <w:gridCol w:w="120"/>
        <w:gridCol w:w="1070"/>
        <w:gridCol w:w="120"/>
        <w:gridCol w:w="1919"/>
      </w:tblGrid>
      <w:tr>
        <w:trPr/>
        <w:tc>
          <w:tcPr>
            <w:tcW w:w="69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697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0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555 Eleventh Street, N.W., Suite 1000</w:t>
            </w:r>
          </w:p>
          <w:p>
            <w:pPr>
              <w:pStyle w:val="TableContents"/>
              <w:bidi w:val="0"/>
              <w:spacing w:before="0" w:after="0"/>
              <w:jc w:val="left"/>
              <w:rPr>
                <w:rFonts w:ascii="Times New Roman" w:hAnsi="Times New Roman"/>
                <w:sz w:val="20"/>
              </w:rPr>
            </w:pPr>
            <w:r>
              <w:rPr>
                <w:rFonts w:ascii="Times New Roman" w:hAnsi="Times New Roman"/>
                <w:sz w:val="20"/>
              </w:rPr>
              <w:t>Washington, D.C. 20004-1304</w:t>
            </w:r>
          </w:p>
          <w:p>
            <w:pPr>
              <w:pStyle w:val="TableContents"/>
              <w:bidi w:val="0"/>
              <w:spacing w:before="0" w:after="0"/>
              <w:jc w:val="left"/>
              <w:rPr>
                <w:rFonts w:ascii="Times New Roman" w:hAnsi="Times New Roman"/>
                <w:sz w:val="20"/>
              </w:rPr>
            </w:pPr>
            <w:r>
              <w:rPr>
                <w:rFonts w:ascii="Times New Roman" w:hAnsi="Times New Roman"/>
                <w:sz w:val="20"/>
              </w:rPr>
              <w:t>Tel: +1.202.637.2200 Fax: +1.202.637.2201</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rHeight w:val="240" w:hRule="atLeast"/>
        </w:trPr>
        <w:tc>
          <w:tcPr>
            <w:tcW w:w="6976" w:type="dxa"/>
            <w:tcBorders/>
            <w:vAlign w:val="center"/>
          </w:tcPr>
          <w:p>
            <w:pPr>
              <w:pStyle w:val="TableContents"/>
              <w:bidi w:val="0"/>
              <w:spacing w:before="0" w:after="283"/>
              <w:jc w:val="left"/>
              <w:rPr>
                <w:sz w:val="4"/>
                <w:szCs w:val="4"/>
              </w:rPr>
            </w:pPr>
            <w:r>
              <w:rPr>
                <w:sz w:val="4"/>
                <w:szCs w:val="4"/>
              </w:rPr>
            </w:r>
          </w:p>
        </w:tc>
        <w:tc>
          <w:tcPr>
            <w:tcW w:w="3229" w:type="dxa"/>
            <w:gridSpan w:val="4"/>
            <w:tcBorders/>
            <w:vAlign w:val="center"/>
          </w:tcPr>
          <w:p>
            <w:pPr>
              <w:pStyle w:val="TableContents"/>
              <w:bidi w:val="0"/>
              <w:spacing w:before="0" w:after="283"/>
              <w:jc w:val="left"/>
              <w:rPr>
                <w:sz w:val="4"/>
                <w:szCs w:val="4"/>
              </w:rPr>
            </w:pPr>
            <w:r>
              <w:rPr>
                <w:sz w:val="4"/>
                <w:szCs w:val="4"/>
              </w:rPr>
            </w:r>
          </w:p>
        </w:tc>
      </w:tr>
      <w:tr>
        <w:trPr/>
        <w:tc>
          <w:tcPr>
            <w:tcW w:w="6976" w:type="dxa"/>
            <w:tcBorders/>
          </w:tcPr>
          <w:p>
            <w:pPr>
              <w:pStyle w:val="TableContents"/>
              <w:bidi w:val="0"/>
              <w:spacing w:before="0" w:after="283"/>
              <w:jc w:val="left"/>
              <w:rPr/>
            </w:pPr>
            <w:r>
              <w:rPr/>
              <w:drawing>
                <wp:inline distT="0" distB="0" distL="0" distR="0">
                  <wp:extent cx="2300605" cy="1549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2300605" cy="15494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09" w:type="dxa"/>
            <w:gridSpan w:val="3"/>
            <w:tcBorders/>
          </w:tcPr>
          <w:p>
            <w:pPr>
              <w:pStyle w:val="TableContents"/>
              <w:bidi w:val="0"/>
              <w:spacing w:before="0" w:after="283"/>
              <w:jc w:val="left"/>
              <w:rPr/>
            </w:pPr>
            <w:r>
              <w:rPr/>
              <w:t>FIRM / AFFILIATE OFFICES</w:t>
            </w:r>
          </w:p>
        </w:tc>
      </w:tr>
      <w:tr>
        <w:trPr/>
        <w:tc>
          <w:tcPr>
            <w:tcW w:w="6976"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September 10, 2026</w:t>
            </w:r>
          </w:p>
        </w:tc>
        <w:tc>
          <w:tcPr>
            <w:tcW w:w="120"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Austin</w:t>
            </w:r>
          </w:p>
          <w:p>
            <w:pPr>
              <w:pStyle w:val="TableContents"/>
              <w:bidi w:val="0"/>
              <w:spacing w:before="0" w:after="0"/>
              <w:jc w:val="left"/>
              <w:rPr>
                <w:rFonts w:ascii="Times New Roman" w:hAnsi="Times New Roman"/>
                <w:sz w:val="20"/>
              </w:rPr>
            </w:pPr>
            <w:r>
              <w:rPr>
                <w:rFonts w:ascii="Times New Roman" w:hAnsi="Times New Roman"/>
                <w:sz w:val="20"/>
              </w:rPr>
              <w:t>Beijing</w:t>
            </w:r>
          </w:p>
          <w:p>
            <w:pPr>
              <w:pStyle w:val="TableContents"/>
              <w:bidi w:val="0"/>
              <w:spacing w:before="0" w:after="0"/>
              <w:jc w:val="left"/>
              <w:rPr>
                <w:rFonts w:ascii="Times New Roman" w:hAnsi="Times New Roman"/>
                <w:sz w:val="20"/>
              </w:rPr>
            </w:pPr>
            <w:r>
              <w:rPr>
                <w:rFonts w:ascii="Times New Roman" w:hAnsi="Times New Roman"/>
                <w:sz w:val="20"/>
              </w:rPr>
              <w:t>Boston</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rFonts w:ascii="Times New Roman" w:hAnsi="Times New Roman"/>
                <w:sz w:val="20"/>
              </w:rPr>
            </w:pPr>
            <w:r>
              <w:rPr>
                <w:rFonts w:ascii="Times New Roman" w:hAnsi="Times New Roman"/>
                <w:sz w:val="20"/>
              </w:rPr>
              <w:t>Chicago</w:t>
            </w:r>
          </w:p>
          <w:p>
            <w:pPr>
              <w:pStyle w:val="TableContents"/>
              <w:bidi w:val="0"/>
              <w:spacing w:before="0" w:after="0"/>
              <w:jc w:val="left"/>
              <w:rPr>
                <w:rFonts w:ascii="Times New Roman" w:hAnsi="Times New Roman"/>
                <w:sz w:val="20"/>
              </w:rPr>
            </w:pPr>
            <w:r>
              <w:rPr>
                <w:rFonts w:ascii="Times New Roman" w:hAnsi="Times New Roman"/>
                <w:sz w:val="20"/>
              </w:rPr>
              <w:t>Dubai</w:t>
            </w:r>
          </w:p>
          <w:p>
            <w:pPr>
              <w:pStyle w:val="TableContents"/>
              <w:bidi w:val="0"/>
              <w:spacing w:before="0" w:after="0"/>
              <w:jc w:val="left"/>
              <w:rPr>
                <w:rFonts w:ascii="Times New Roman" w:hAnsi="Times New Roman"/>
                <w:sz w:val="20"/>
              </w:rPr>
            </w:pPr>
            <w:r>
              <w:rPr>
                <w:rFonts w:ascii="Times New Roman" w:hAnsi="Times New Roman"/>
                <w:sz w:val="20"/>
              </w:rPr>
              <w:t>Düsseldorf</w:t>
            </w:r>
          </w:p>
          <w:p>
            <w:pPr>
              <w:pStyle w:val="TableContents"/>
              <w:bidi w:val="0"/>
              <w:spacing w:before="0" w:after="0"/>
              <w:jc w:val="left"/>
              <w:rPr>
                <w:rFonts w:ascii="Times New Roman" w:hAnsi="Times New Roman"/>
                <w:sz w:val="20"/>
              </w:rPr>
            </w:pPr>
            <w:r>
              <w:rPr>
                <w:rFonts w:ascii="Times New Roman" w:hAnsi="Times New Roman"/>
                <w:sz w:val="20"/>
              </w:rPr>
              <w:t>Frankfurt</w:t>
            </w:r>
          </w:p>
          <w:p>
            <w:pPr>
              <w:pStyle w:val="TableContents"/>
              <w:bidi w:val="0"/>
              <w:spacing w:before="0" w:after="0"/>
              <w:jc w:val="left"/>
              <w:rPr>
                <w:rFonts w:ascii="Times New Roman" w:hAnsi="Times New Roman"/>
                <w:sz w:val="20"/>
              </w:rPr>
            </w:pPr>
            <w:r>
              <w:rPr>
                <w:rFonts w:ascii="Times New Roman" w:hAnsi="Times New Roman"/>
                <w:sz w:val="20"/>
              </w:rPr>
              <w:t>Hamburg</w:t>
            </w:r>
          </w:p>
          <w:p>
            <w:pPr>
              <w:pStyle w:val="TableContents"/>
              <w:bidi w:val="0"/>
              <w:spacing w:before="0" w:after="0"/>
              <w:jc w:val="left"/>
              <w:rPr>
                <w:rFonts w:ascii="Times New Roman" w:hAnsi="Times New Roman"/>
                <w:sz w:val="20"/>
              </w:rPr>
            </w:pPr>
            <w:r>
              <w:rPr>
                <w:rFonts w:ascii="Times New Roman" w:hAnsi="Times New Roman"/>
                <w:sz w:val="20"/>
              </w:rPr>
              <w:t>Hong Kong</w:t>
            </w:r>
          </w:p>
          <w:p>
            <w:pPr>
              <w:pStyle w:val="TableContents"/>
              <w:bidi w:val="0"/>
              <w:spacing w:before="0" w:after="0"/>
              <w:jc w:val="left"/>
              <w:rPr>
                <w:rFonts w:ascii="Times New Roman" w:hAnsi="Times New Roman"/>
                <w:sz w:val="20"/>
              </w:rPr>
            </w:pPr>
            <w:r>
              <w:rPr>
                <w:rFonts w:ascii="Times New Roman" w:hAnsi="Times New Roman"/>
                <w:sz w:val="20"/>
              </w:rPr>
              <w:t>Houston</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rFonts w:ascii="Times New Roman" w:hAnsi="Times New Roman"/>
                <w:sz w:val="20"/>
              </w:rPr>
            </w:pPr>
            <w:r>
              <w:rPr>
                <w:rFonts w:ascii="Times New Roman" w:hAnsi="Times New Roman"/>
                <w:sz w:val="20"/>
              </w:rPr>
              <w:t>Los Angeles</w:t>
            </w:r>
          </w:p>
          <w:p>
            <w:pPr>
              <w:pStyle w:val="TableContents"/>
              <w:bidi w:val="0"/>
              <w:spacing w:before="0" w:after="20"/>
              <w:jc w:val="left"/>
              <w:rPr>
                <w:rFonts w:ascii="Times New Roman" w:hAnsi="Times New Roman"/>
                <w:sz w:val="20"/>
              </w:rPr>
            </w:pPr>
            <w:r>
              <w:rPr>
                <w:rFonts w:ascii="Times New Roman" w:hAnsi="Times New Roman"/>
                <w:sz w:val="20"/>
              </w:rPr>
              <w:t>Madrid</w:t>
            </w:r>
          </w:p>
        </w:tc>
        <w:tc>
          <w:tcPr>
            <w:tcW w:w="120" w:type="dxa"/>
            <w:tcBorders/>
            <w:vAlign w:val="bottom"/>
          </w:tcPr>
          <w:p>
            <w:pPr>
              <w:pStyle w:val="TableContents"/>
              <w:bidi w:val="0"/>
              <w:spacing w:before="0" w:after="283"/>
              <w:jc w:val="left"/>
              <w:rPr/>
            </w:pPr>
            <w:r>
              <w:rPr/>
              <w:t>  </w:t>
            </w:r>
          </w:p>
        </w:tc>
        <w:tc>
          <w:tcPr>
            <w:tcW w:w="1919" w:type="dxa"/>
            <w:tcBorders/>
          </w:tcPr>
          <w:p>
            <w:pPr>
              <w:pStyle w:val="TableContents"/>
              <w:bidi w:val="0"/>
              <w:spacing w:before="0" w:after="0"/>
              <w:jc w:val="left"/>
              <w:rPr>
                <w:rFonts w:ascii="Times New Roman" w:hAnsi="Times New Roman"/>
                <w:sz w:val="20"/>
              </w:rPr>
            </w:pPr>
            <w:r>
              <w:rPr>
                <w:rFonts w:ascii="Times New Roman" w:hAnsi="Times New Roman"/>
                <w:sz w:val="20"/>
              </w:rPr>
              <w:t>Milan</w:t>
            </w:r>
          </w:p>
          <w:p>
            <w:pPr>
              <w:pStyle w:val="TableContents"/>
              <w:bidi w:val="0"/>
              <w:spacing w:before="0" w:after="0"/>
              <w:jc w:val="left"/>
              <w:rPr>
                <w:rFonts w:ascii="Times New Roman" w:hAnsi="Times New Roman"/>
                <w:sz w:val="20"/>
              </w:rPr>
            </w:pPr>
            <w:r>
              <w:rPr>
                <w:rFonts w:ascii="Times New Roman" w:hAnsi="Times New Roman"/>
                <w:sz w:val="20"/>
              </w:rPr>
              <w:t>Munich</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Orange County</w:t>
            </w:r>
          </w:p>
          <w:p>
            <w:pPr>
              <w:pStyle w:val="TableContents"/>
              <w:bidi w:val="0"/>
              <w:spacing w:before="0" w:after="0"/>
              <w:jc w:val="left"/>
              <w:rPr>
                <w:rFonts w:ascii="Times New Roman" w:hAnsi="Times New Roman"/>
                <w:sz w:val="20"/>
              </w:rPr>
            </w:pPr>
            <w:r>
              <w:rPr>
                <w:rFonts w:ascii="Times New Roman" w:hAnsi="Times New Roman"/>
                <w:sz w:val="20"/>
              </w:rPr>
              <w:t>Paris</w:t>
            </w:r>
          </w:p>
          <w:p>
            <w:pPr>
              <w:pStyle w:val="TableContents"/>
              <w:bidi w:val="0"/>
              <w:spacing w:before="0" w:after="0"/>
              <w:jc w:val="left"/>
              <w:rPr>
                <w:rFonts w:ascii="Times New Roman" w:hAnsi="Times New Roman"/>
                <w:sz w:val="20"/>
              </w:rPr>
            </w:pPr>
            <w:r>
              <w:rPr>
                <w:rFonts w:ascii="Times New Roman" w:hAnsi="Times New Roman"/>
                <w:sz w:val="20"/>
              </w:rPr>
              <w:t>Riyadh</w:t>
            </w:r>
          </w:p>
          <w:p>
            <w:pPr>
              <w:pStyle w:val="TableContents"/>
              <w:bidi w:val="0"/>
              <w:spacing w:before="0" w:after="0"/>
              <w:jc w:val="left"/>
              <w:rPr>
                <w:rFonts w:ascii="Times New Roman" w:hAnsi="Times New Roman"/>
                <w:sz w:val="20"/>
              </w:rPr>
            </w:pPr>
            <w:r>
              <w:rPr>
                <w:rFonts w:ascii="Times New Roman" w:hAnsi="Times New Roman"/>
                <w:sz w:val="20"/>
              </w:rPr>
              <w:t>San Diego</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rFonts w:ascii="Times New Roman" w:hAnsi="Times New Roman"/>
                <w:sz w:val="20"/>
              </w:rPr>
            </w:pPr>
            <w:r>
              <w:rPr>
                <w:rFonts w:ascii="Times New Roman" w:hAnsi="Times New Roman"/>
                <w:sz w:val="20"/>
              </w:rPr>
              <w:t>Seoul</w:t>
            </w:r>
          </w:p>
          <w:p>
            <w:pPr>
              <w:pStyle w:val="TableContents"/>
              <w:bidi w:val="0"/>
              <w:spacing w:before="0" w:after="0"/>
              <w:jc w:val="left"/>
              <w:rPr>
                <w:rFonts w:ascii="Times New Roman" w:hAnsi="Times New Roman"/>
                <w:sz w:val="20"/>
              </w:rPr>
            </w:pPr>
            <w:r>
              <w:rPr>
                <w:rFonts w:ascii="Times New Roman" w:hAnsi="Times New Roman"/>
                <w:sz w:val="20"/>
              </w:rPr>
              <w:t>Silicon Valley</w:t>
            </w:r>
          </w:p>
          <w:p>
            <w:pPr>
              <w:pStyle w:val="TableContents"/>
              <w:bidi w:val="0"/>
              <w:spacing w:before="0" w:after="0"/>
              <w:jc w:val="left"/>
              <w:rPr>
                <w:rFonts w:ascii="Times New Roman" w:hAnsi="Times New Roman"/>
                <w:sz w:val="20"/>
              </w:rPr>
            </w:pPr>
            <w:r>
              <w:rPr>
                <w:rFonts w:ascii="Times New Roman" w:hAnsi="Times New Roman"/>
                <w:sz w:val="20"/>
              </w:rPr>
              <w:t>Singapore</w:t>
            </w:r>
          </w:p>
          <w:p>
            <w:pPr>
              <w:pStyle w:val="TableContents"/>
              <w:bidi w:val="0"/>
              <w:spacing w:before="0" w:after="0"/>
              <w:jc w:val="left"/>
              <w:rPr>
                <w:rFonts w:ascii="Times New Roman" w:hAnsi="Times New Roman"/>
                <w:sz w:val="20"/>
              </w:rPr>
            </w:pPr>
            <w:r>
              <w:rPr>
                <w:rFonts w:ascii="Times New Roman" w:hAnsi="Times New Roman"/>
                <w:sz w:val="20"/>
              </w:rPr>
              <w:t>Tel Aviv</w:t>
            </w:r>
          </w:p>
          <w:p>
            <w:pPr>
              <w:pStyle w:val="TableContents"/>
              <w:bidi w:val="0"/>
              <w:spacing w:before="0" w:after="0"/>
              <w:jc w:val="left"/>
              <w:rPr>
                <w:rFonts w:ascii="Times New Roman" w:hAnsi="Times New Roman"/>
                <w:sz w:val="20"/>
              </w:rPr>
            </w:pPr>
            <w:r>
              <w:rPr>
                <w:rFonts w:ascii="Times New Roman" w:hAnsi="Times New Roman"/>
                <w:sz w:val="20"/>
              </w:rPr>
              <w:t>Tokyo</w:t>
            </w:r>
          </w:p>
          <w:p>
            <w:pPr>
              <w:pStyle w:val="TableContents"/>
              <w:bidi w:val="0"/>
              <w:spacing w:before="0" w:after="20"/>
              <w:jc w:val="left"/>
              <w:rPr>
                <w:rFonts w:ascii="Times New Roman" w:hAnsi="Times New Roman"/>
                <w:sz w:val="20"/>
              </w:rPr>
            </w:pPr>
            <w:r>
              <w:rPr>
                <w:rFonts w:ascii="Times New Roman" w:hAnsi="Times New Roman"/>
                <w:sz w:val="20"/>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Palo Alto Networks, Inc. </w:t>
      </w:r>
    </w:p>
    <w:p>
      <w:pPr>
        <w:pStyle w:val="TextBody"/>
        <w:bidi w:val="0"/>
        <w:spacing w:before="0" w:after="0"/>
        <w:jc w:val="left"/>
        <w:rPr>
          <w:rFonts w:ascii="Times New Roman" w:hAnsi="Times New Roman"/>
          <w:sz w:val="20"/>
        </w:rPr>
      </w:pPr>
      <w:r>
        <w:rPr>
          <w:rFonts w:ascii="Times New Roman" w:hAnsi="Times New Roman"/>
          <w:sz w:val="20"/>
        </w:rPr>
        <w:t xml:space="preserve">3000 Tannery Way </w:t>
      </w:r>
    </w:p>
    <w:p>
      <w:pPr>
        <w:pStyle w:val="TextBody"/>
        <w:bidi w:val="0"/>
        <w:spacing w:before="0" w:after="0"/>
        <w:jc w:val="left"/>
        <w:rPr>
          <w:rFonts w:ascii="Times New Roman" w:hAnsi="Times New Roman"/>
          <w:sz w:val="20"/>
        </w:rPr>
      </w:pPr>
      <w:r>
        <w:rPr>
          <w:rFonts w:ascii="Times New Roman" w:hAnsi="Times New Roman"/>
          <w:sz w:val="20"/>
        </w:rPr>
        <w:t xml:space="preserve">Santa Clara, California 95054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S-8; 8,166,653 shares of common stock, $0.0001 par value per share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Palo Alto Networks, Inc., a Delaware corporation (the “</w:t>
      </w:r>
      <w:r>
        <w:rPr>
          <w:rFonts w:ascii="Times New Roman" w:hAnsi="Times New Roman"/>
          <w:b/>
          <w:i/>
          <w:sz w:val="20"/>
        </w:rPr>
        <w:t>Company</w:t>
      </w:r>
      <w:r>
        <w:rPr>
          <w:rFonts w:ascii="Times New Roman" w:hAnsi="Times New Roman"/>
          <w:sz w:val="20"/>
        </w:rPr>
        <w:t>”), in connection with the proposed issuance of up to 8,166,653 shares of common stock, $0.0001 par value per share (the “</w:t>
      </w:r>
      <w:r>
        <w:rPr>
          <w:rFonts w:ascii="Times New Roman" w:hAnsi="Times New Roman"/>
          <w:b/>
          <w:i/>
          <w:sz w:val="20"/>
        </w:rPr>
        <w:t>Shares</w:t>
      </w:r>
      <w:r>
        <w:rPr>
          <w:rFonts w:ascii="Times New Roman" w:hAnsi="Times New Roman"/>
          <w:sz w:val="20"/>
        </w:rPr>
        <w:t>”), that may be issued to participants pursuant to the 2012 Employee Stock Purchase Plan, as amended and restated (the “</w:t>
      </w:r>
      <w:r>
        <w:rPr>
          <w:rFonts w:ascii="Times New Roman" w:hAnsi="Times New Roman"/>
          <w:b/>
          <w:i/>
          <w:sz w:val="20"/>
        </w:rPr>
        <w:t>ESPP</w:t>
      </w:r>
      <w:r>
        <w:rPr>
          <w:rFonts w:ascii="Times New Roman" w:hAnsi="Times New Roman"/>
          <w:sz w:val="20"/>
        </w:rPr>
        <w:t>”). The Shares are included in a registration statement on Form S-8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September 10, 2026 (the “</w:t>
      </w:r>
      <w:r>
        <w:rPr>
          <w:rFonts w:ascii="Times New Roman" w:hAnsi="Times New Roman"/>
          <w:b/>
          <w:i/>
          <w:sz w:val="20"/>
        </w:rPr>
        <w:t>Registration Statement</w:t>
      </w:r>
      <w:r>
        <w:rPr>
          <w:rFonts w:ascii="Times New Roman" w:hAnsi="Times New Roman"/>
          <w:sz w:val="20"/>
        </w:rPr>
        <w:t xml:space="preserve">”).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September 10,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84960" cy="1162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584960" cy="1162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recipient and have been issued by the Company for legal consideration in excess of par value in the circumstances contemplated by the ESPP, assuming in each case that the individual grants or awards under the ESPP are duly authorized by all necessary corporate action and duly granted or awarded and exercised in accordance with the requirements of law and the ESPP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5" w:name="d175159dex231.htm"/>
      <w:bookmarkStart w:id="6" w:name="ksd175159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2012 Employee Stock Purchase Plan, as amended and restated, of Palo Alto Networks, Inc. of our reports dated September 10, 2026, with respect to the consolidated financial statements of Palo Alto Networks, Inc. and the effectiveness of internal control over financial reporting of Palo Alto Networks, Inc. included in its Annual Report (Form 10-K) for the year ended July 31, 2026,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San Mateo, California</w:t>
            </w:r>
          </w:p>
        </w:tc>
      </w:tr>
      <w:tr>
        <w:trPr/>
        <w:tc>
          <w:tcPr>
            <w:tcW w:w="4082" w:type="dxa"/>
            <w:tcBorders/>
          </w:tcPr>
          <w:p>
            <w:pPr>
              <w:pStyle w:val="TableContents"/>
              <w:bidi w:val="0"/>
              <w:spacing w:before="0" w:after="283"/>
              <w:jc w:val="left"/>
              <w:rPr/>
            </w:pPr>
            <w:r>
              <w:rPr/>
              <w:t>September 10, 2026</w:t>
            </w:r>
          </w:p>
        </w:tc>
      </w:tr>
    </w:tbl>
    <w:p>
      <w:pPr>
        <w:pStyle w:val="Normal"/>
        <w:bidi w:val="0"/>
        <w:spacing w:before="0" w:after="0"/>
        <w:jc w:val="left"/>
        <w:rPr>
          <w:sz w:val="4"/>
          <w:szCs w:val="4"/>
        </w:rPr>
      </w:pPr>
      <w:r>
        <w:rPr>
          <w:sz w:val="4"/>
          <w:szCs w:val="4"/>
        </w:rPr>
      </w:r>
      <w:bookmarkStart w:id="7" w:name="d175159dexfilingfees.htm"/>
      <w:bookmarkStart w:id="8" w:name="ksd175159dexfilingfees"/>
      <w:bookmarkStart w:id="9" w:name="d175159dexfilingfees.htm"/>
      <w:bookmarkStart w:id="10" w:name="ksd175159dexfilingfees"/>
      <w:bookmarkEnd w:id="9"/>
      <w:bookmarkEnd w:id="10"/>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Palo Alto Networks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99" w:type="dxa"/>
        <w:jc w:val="left"/>
        <w:tblInd w:w="0" w:type="dxa"/>
        <w:tblLayout w:type="fixed"/>
        <w:tblCellMar>
          <w:top w:w="28" w:type="dxa"/>
          <w:left w:w="28" w:type="dxa"/>
          <w:bottom w:w="28" w:type="dxa"/>
          <w:right w:w="28" w:type="dxa"/>
        </w:tblCellMar>
      </w:tblPr>
      <w:tblGrid>
        <w:gridCol w:w="241"/>
        <w:gridCol w:w="946"/>
        <w:gridCol w:w="991"/>
        <w:gridCol w:w="1276"/>
        <w:gridCol w:w="1186"/>
        <w:gridCol w:w="1156"/>
        <w:gridCol w:w="1966"/>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8,166,653 </w:t>
            </w:r>
          </w:p>
        </w:tc>
        <w:tc>
          <w:tcPr>
            <w:tcW w:w="1156" w:type="dxa"/>
            <w:tcBorders/>
            <w:shd w:fill="E7E7E2" w:val="clear"/>
            <w:vAlign w:val="center"/>
          </w:tcPr>
          <w:p>
            <w:pPr>
              <w:pStyle w:val="TableContents"/>
              <w:bidi w:val="0"/>
              <w:spacing w:before="0" w:after="283"/>
              <w:jc w:val="right"/>
              <w:rPr/>
            </w:pPr>
            <w:r>
              <w:rPr/>
              <w:t xml:space="preserve">$ 278.26 </w:t>
            </w:r>
          </w:p>
        </w:tc>
        <w:tc>
          <w:tcPr>
            <w:tcW w:w="1966" w:type="dxa"/>
            <w:tcBorders/>
            <w:shd w:fill="E7E7E2" w:val="clear"/>
            <w:vAlign w:val="center"/>
          </w:tcPr>
          <w:p>
            <w:pPr>
              <w:pStyle w:val="TableContents"/>
              <w:bidi w:val="0"/>
              <w:spacing w:before="0" w:after="283"/>
              <w:jc w:val="right"/>
              <w:rPr/>
            </w:pPr>
            <w:r>
              <w:rPr/>
              <w:t xml:space="preserve">$ 2,272,452,863.78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$ 313,825.74 </w:t>
            </w:r>
          </w:p>
        </w:tc>
      </w:tr>
      <w:tr>
        <w:trPr/>
        <w:tc>
          <w:tcPr>
            <w:tcW w:w="464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1" w:name="MaxAggtOfferingPrice"/>
            <w:bookmarkEnd w:id="11"/>
            <w:r>
              <w:rPr/>
              <w:t xml:space="preserve">$ 2,272,452,863.78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$ 313,825.74 </w:t>
            </w:r>
          </w:p>
        </w:tc>
      </w:tr>
      <w:tr>
        <w:trPr/>
        <w:tc>
          <w:tcPr>
            <w:tcW w:w="464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4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4" w:name="NetFeeAmt"/>
            <w:bookmarkEnd w:id="14"/>
            <w:r>
              <w:rPr/>
              <w:t xml:space="preserve">$ 313,825.74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on Form S-8 shall also cover any additional shares of common stock of Palo Alto Networks, Inc. (the "Registrant") that become issuable under the Registrant's 2012 Employee Stock Purchase Plan, as amended and restated (the "2012 ESPP") by reason of any stock dividend, stock split, recapitalization or other similar transaction effected without the receipt of consideration that increases the number of the Registrant's outstanding shares of common stock. (2) Represents an annual increase on August 1, 2026 to the number of shares of common stock reserved for issuance under the 2012 ESPP. (3) Estimated in accordance with Rules 457(c) and 457(h) of the Securities Act solely for the purpose of calculating the registration fee on the basis of $278.26 per share, which is 85% of the average of the high and low prices of the Registrant's common stock as reported on The NASDAQ Global Select Market on September 3, 2026. Pursuant to the 2012 ESPP, the purchase price of the shares of common stock reserved for issuance thereunder will be 85% of the fair market value of a share of the Registrant's common stock on the Enrollment Date (as defined in the 2012 ESPP) or on the Exercise Date (as defined in the 2012 ESPP), whichever is lower.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327567/000132756726000023/panw-20260731.htm" TargetMode="External"/><Relationship Id="rId3" Type="http://schemas.openxmlformats.org/officeDocument/2006/relationships/hyperlink" Target="http://www.sec.gov/Archives/edgar/data/../../../ix?doc=/Archives/edgar/data/1327567/000119312526361122/d180372d8k.htm" TargetMode="External"/><Relationship Id="rId4" Type="http://schemas.openxmlformats.org/officeDocument/2006/relationships/hyperlink" Target="http://www.sec.gov/Archives/edgar/data/1327567/000132756725000027/panwex41descriptionofregis.htm" TargetMode="External"/><Relationship Id="rId5" Type="http://schemas.openxmlformats.org/officeDocument/2006/relationships/hyperlink" Target="http://www.sec.gov/Archives/edgar/data/../../../ix?doc=/Archives/edgar/data/1327567/000132756725000027/panw-20250731.htm" TargetMode="External"/><Relationship Id="rId6" Type="http://schemas.openxmlformats.org/officeDocument/2006/relationships/hyperlink" Target="http://www.sec.gov/Archives/edgar/data/1327567/000132756725000027/panwex31restatedcertificat.htm" TargetMode="External"/><Relationship Id="rId7" Type="http://schemas.openxmlformats.org/officeDocument/2006/relationships/hyperlink" Target="http://www.sec.gov/Archives/edgar/data/1327567/000119312526361122/d180372dex31.htm" TargetMode="External"/><Relationship Id="rId8" Type="http://schemas.openxmlformats.org/officeDocument/2006/relationships/hyperlink" Target="http://www.sec.gov/Archives/edgar/data/1327567/000119312512296699/d318373dex41.htm" TargetMode="External"/><Relationship Id="rId9" Type="http://schemas.openxmlformats.org/officeDocument/2006/relationships/hyperlink" Target="http://www.sec.gov/Archives/edgar/data/1327567/000132756726000023/panwex106-2012espp.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3891</Words>
  <Characters>20605</Characters>
  <CharactersWithSpaces>24517</CharactersWithSpaces>
  <Paragraphs>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