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0372d8k.htm"/>
      <w:bookmarkStart w:id="1" w:name="ksd18037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August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b/>
          <w:sz w:val="48"/>
        </w:rPr>
      </w:pPr>
      <w:r>
        <w:rPr>
          <w:rFonts w:ascii="Times New Roman" w:hAnsi="Times New Roman"/>
          <w:b/>
          <w:sz w:val="48"/>
        </w:rPr>
        <w:t>PALO ALTO NETWORKS,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001-35594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20-2530195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20" w:after="0"/>
        <w:jc w:val="center"/>
        <w:rPr>
          <w:rFonts w:ascii="Times New Roman" w:hAnsi="Times New Roman"/>
          <w:b/>
          <w:sz w:val="20"/>
        </w:rPr>
      </w:pPr>
      <w:r>
        <w:rPr>
          <w:rFonts w:ascii="Times New Roman" w:hAnsi="Times New Roman"/>
          <w:b/>
          <w:sz w:val="20"/>
        </w:rPr>
        <w:t>3000 Tannery Way</w:t>
      </w:r>
    </w:p>
    <w:p>
      <w:pPr>
        <w:pStyle w:val="TextBody"/>
        <w:bidi w:val="0"/>
        <w:spacing w:before="0" w:after="0"/>
        <w:jc w:val="center"/>
        <w:rPr>
          <w:rFonts w:ascii="Times New Roman" w:hAnsi="Times New Roman"/>
          <w:b/>
          <w:sz w:val="20"/>
        </w:rPr>
      </w:pPr>
      <w:r>
        <w:rPr>
          <w:rFonts w:ascii="Times New Roman" w:hAnsi="Times New Roman"/>
          <w:b/>
          <w:sz w:val="20"/>
        </w:rPr>
        <w:t>Santa Clara, California 95054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20" w:after="0"/>
        <w:jc w:val="center"/>
        <w:rPr>
          <w:rFonts w:ascii="Times New Roman" w:hAnsi="Times New Roman"/>
          <w:b/>
          <w:sz w:val="20"/>
        </w:rPr>
      </w:pPr>
      <w:r>
        <w:rPr>
          <w:rFonts w:ascii="Times New Roman" w:hAnsi="Times New Roman"/>
          <w:b/>
          <w:sz w:val="20"/>
        </w:rPr>
        <w:t>(408) 753-4000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PANW</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20, 2026, the Board of Directors (the “Board”) of Palo Alto Networks, Inc. (the “Company”), upon the recommendation of the Compensation and People Committee of the Board, approved an Executive Change in Control and Severance Policy (the “Policy”). The Policy is designed to provide certain severance benefits to selected participants in connection with the involuntary termination of the participant’s employment during a specified change in control protection period, or, in certain cases, outside of a change in control protection period. Company employees with the title of Senior Vice President and above who execute a participation agreement with the Company have been designated as participants in the Policy, including the following executives: Nikesh Arora, the Company’s Chairman and Chief Executive Officer (the “CEO”), Dipak Golechha, the Company’s Chief Financial Officer, William “BJ” Jenkins, the Company’s President, and Lee Klarich, the Company’s Chief Product and Technology Officer.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Policy, if an executive’s employment is terminated by the Company other than for “Cause,” death or “Disability” (each, as defined in the Policy) outside of the period beginning three months prior to a Change in Control (as defined in the Policy) and ending 12 months (or 18 months for the CEO) following a Change in Control (the “CIC Period”), then, subject to the executive’s timely execution and non-revocation of a separation agreement and release of claims with the Company, the executive will receive: (i) salary severance equal to a percentage (as described in the table below) of the executive’s base salary (“Salary Severance”); (ii) cash incentive severance equal to the sum of (a) the executive’s annual target cash incentive compensation opportunity, prorated based on the number of days elapsed in the fiscal year prior to the date of termination, minus the amount of any actual cash incentive award paid to the executive for a semi-annual performance period that occurs during such fiscal year and (b) to the extent the cash incentive award for the prior fiscal year has not been paid as of the date of termination of employment, 100% of the executive’s annual target cash incentive compensation opportunity for such prior fiscal year minus the amount of any actual cash incentive award paid to the executive for a semi-annual performance period that occurs during such fiscal year; (iii) health benefit severance equal to a number of months (as described in the table below) multiplied by the monthly COBRA premium required to continue group health, dental and vision coverage for the executive and their eligible dependents (“Health Benefit Severance”); and (iv) vesting acceleration for any time-based equity awards that otherwise would have vested for the specified number of months (as described in the table below) had the executive remained employed with the Company during such period, with equity awards subject to performance-based vesting conditions remaining outstanding and vesting, as to the portion of the award that otherwise would have vested had the executive remained employed with the Company during such period, based on actual achievement of the performance criteria upon the completion of the applicable performance period. </w:t>
      </w:r>
    </w:p>
    <w:p>
      <w:pPr>
        <w:pStyle w:val="TextBody"/>
        <w:bidi w:val="0"/>
        <w:spacing w:before="0" w:after="0"/>
        <w:jc w:val="left"/>
        <w:rPr/>
      </w:pPr>
      <w:r>
        <w:rPr/>
        <w:t> </w:t>
      </w:r>
    </w:p>
    <w:tbl>
      <w:tblPr>
        <w:tblW w:w="7790" w:type="dxa"/>
        <w:jc w:val="left"/>
        <w:tblInd w:w="0" w:type="dxa"/>
        <w:tblLayout w:type="fixed"/>
        <w:tblCellMar>
          <w:top w:w="0" w:type="dxa"/>
          <w:left w:w="0" w:type="dxa"/>
          <w:bottom w:w="0" w:type="dxa"/>
          <w:right w:w="0" w:type="dxa"/>
        </w:tblCellMar>
      </w:tblPr>
      <w:tblGrid>
        <w:gridCol w:w="2930"/>
        <w:gridCol w:w="120"/>
        <w:gridCol w:w="1775"/>
        <w:gridCol w:w="60"/>
        <w:gridCol w:w="1475"/>
        <w:gridCol w:w="120"/>
        <w:gridCol w:w="131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b/>
              </w:rPr>
            </w:pPr>
            <w:r>
              <w:rPr>
                <w:b/>
              </w:rPr>
              <w:t>Salary Severance</w:t>
            </w:r>
          </w:p>
        </w:tc>
        <w:tc>
          <w:tcPr>
            <w:tcW w:w="60" w:type="dxa"/>
            <w:tcBorders/>
            <w:vAlign w:val="center"/>
          </w:tcPr>
          <w:p>
            <w:pPr>
              <w:pStyle w:val="TableContents"/>
              <w:bidi w:val="0"/>
              <w:spacing w:before="0" w:after="283"/>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b/>
              </w:rPr>
            </w:pPr>
            <w:r>
              <w:rPr>
                <w:b/>
              </w:rPr>
              <w:t>Health Benefit</w:t>
              <w:br/>
              <w:t>Severance</w:t>
            </w:r>
          </w:p>
        </w:tc>
        <w:tc>
          <w:tcPr>
            <w:tcW w:w="120" w:type="dxa"/>
            <w:tcBorders/>
            <w:vAlign w:val="center"/>
          </w:tcPr>
          <w:p>
            <w:pPr>
              <w:pStyle w:val="TableContents"/>
              <w:bidi w:val="0"/>
              <w:spacing w:before="0" w:after="283"/>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jc w:val="center"/>
              <w:rPr>
                <w:b/>
              </w:rPr>
            </w:pPr>
            <w:r>
              <w:rPr>
                <w:b/>
              </w:rPr>
              <w:t>Equity</w:t>
              <w:br/>
              <w:t>Acceleration</w:t>
            </w:r>
          </w:p>
        </w:tc>
      </w:tr>
      <w:tr>
        <w:trPr/>
        <w:tc>
          <w:tcPr>
            <w:tcW w:w="29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Executive Officers (including CEO)</w:t>
            </w:r>
          </w:p>
        </w:tc>
        <w:tc>
          <w:tcPr>
            <w:tcW w:w="12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center"/>
              <w:rPr/>
            </w:pPr>
            <w:r>
              <w:rPr/>
              <w:t>12 months</w:t>
            </w:r>
          </w:p>
        </w:tc>
        <w:tc>
          <w:tcPr>
            <w:tcW w:w="12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pPr>
            <w:r>
              <w:rPr/>
              <w:t>12 months</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executive’s employment is terminated by the Company other than for Cause, death or Disability, or by the executive for “Good Reason” (as defined in the Policy) during the CIC Period, then subject to the executive’s timely execution and non-revocation of a separation agreement and release of claims with the Company, the executive will receive: (i) Salary Severance (based on the percentage described in the table below); (ii) cash incentive severance equal to a percentage (as described in the table below) of the executive’s annual target cash incentive compensation opportunity (“Cash Incentive Severance”); (iii) Health Benefit Severance (based on a number of months described in the table below); and (iv) vesting acceleration as to 100% of any equity awards that are outstanding and unvested, provided that the treatment of the performance conditions of awards that are subject to performance-based vesting conditions will be as set forth in the individual award agreement. </w:t>
      </w:r>
    </w:p>
    <w:p>
      <w:pPr>
        <w:pStyle w:val="TextBody"/>
        <w:bidi w:val="0"/>
        <w:spacing w:before="0" w:after="0"/>
        <w:jc w:val="left"/>
        <w:rPr/>
      </w:pPr>
      <w:r>
        <w:rPr/>
        <w:t> </w:t>
      </w:r>
    </w:p>
    <w:tbl>
      <w:tblPr>
        <w:tblW w:w="7070" w:type="dxa"/>
        <w:jc w:val="left"/>
        <w:tblInd w:w="0" w:type="dxa"/>
        <w:tblLayout w:type="fixed"/>
        <w:tblCellMar>
          <w:top w:w="0" w:type="dxa"/>
          <w:left w:w="0" w:type="dxa"/>
          <w:bottom w:w="0" w:type="dxa"/>
          <w:right w:w="0" w:type="dxa"/>
        </w:tblCellMar>
      </w:tblPr>
      <w:tblGrid>
        <w:gridCol w:w="2030"/>
        <w:gridCol w:w="120"/>
        <w:gridCol w:w="1775"/>
        <w:gridCol w:w="60"/>
        <w:gridCol w:w="1535"/>
        <w:gridCol w:w="60"/>
        <w:gridCol w:w="1490"/>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Participant</w:t>
            </w:r>
          </w:p>
        </w:tc>
        <w:tc>
          <w:tcPr>
            <w:tcW w:w="12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b/>
              </w:rPr>
            </w:pPr>
            <w:r>
              <w:rPr>
                <w:b/>
              </w:rPr>
              <w:t>Salary Severance</w:t>
            </w:r>
          </w:p>
        </w:tc>
        <w:tc>
          <w:tcPr>
            <w:tcW w:w="60" w:type="dxa"/>
            <w:tcBorders/>
            <w:vAlign w:val="center"/>
          </w:tcPr>
          <w:p>
            <w:pPr>
              <w:pStyle w:val="TableContents"/>
              <w:bidi w:val="0"/>
              <w:spacing w:before="0" w:after="283"/>
              <w:jc w:val="left"/>
              <w:rPr/>
            </w:pPr>
            <w:r>
              <w:rPr/>
              <w:t> </w:t>
            </w:r>
          </w:p>
        </w:tc>
        <w:tc>
          <w:tcPr>
            <w:tcW w:w="1535" w:type="dxa"/>
            <w:tcBorders>
              <w:bottom w:val="single" w:sz="8" w:space="0" w:color="000000"/>
            </w:tcBorders>
            <w:tcMar>
              <w:bottom w:w="28" w:type="dxa"/>
            </w:tcMar>
            <w:vAlign w:val="center"/>
          </w:tcPr>
          <w:p>
            <w:pPr>
              <w:pStyle w:val="TableContents"/>
              <w:bidi w:val="0"/>
              <w:spacing w:before="0" w:after="283"/>
              <w:jc w:val="center"/>
              <w:rPr>
                <w:b/>
              </w:rPr>
            </w:pPr>
            <w:r>
              <w:rPr>
                <w:b/>
              </w:rPr>
              <w:t>Cash Incentive</w:t>
              <w:br/>
              <w:t>Severance</w:t>
            </w:r>
          </w:p>
        </w:tc>
        <w:tc>
          <w:tcPr>
            <w:tcW w:w="6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Health Benefit</w:t>
              <w:br/>
              <w:t>Severance</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CEO</w:t>
            </w:r>
          </w:p>
        </w:tc>
        <w:tc>
          <w:tcPr>
            <w:tcW w:w="12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200%</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200%</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center"/>
              <w:rPr/>
            </w:pPr>
            <w:r>
              <w:rPr/>
              <w:t>24 months</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Executive Officers</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150%</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150%</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18 months</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payment or benefit payable to a participant constitutes a “parachute payment” under Section 280G of the U.S. tax code and would be subject to the applicable excise tax, then the participant’s payments or benefits will be either (i) delivered in full or (ii) delivered to such lesser extent which would result in no portion of such benefits being subject to the excise tax, whichever results in the receipt by the participant on an after-tax basis of the greatest amount of benefits.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Policy does not purport to be complete and is qualified in its entirety by reference to the full text of the Policy, which is filed herewith as Exhibit 10.1 to this Current Report on Form 8-K, and is incorporated herein by reference.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20, 2026, the Board adopted amended and restated bylaws of the Company (the “Amended and Restated Bylaws”), effective immediately. Among other things, the amendments effected by the Amended and Restated Bylaws: (i) align the Company’s bylaws with recent amendments to the General Corporation Law of the State of Delaware and developments in current practice, including updates regarding notices to stockholders, stockholder lists, and Board action by consent in lieu of a meeting, (ii) clarify quorum and voting standards applicable to meetings of stockholders, (iii) update provisions regarding proxy authorizations, (iv) update provisions regarding the authority to call special meetings of the Board to include the lead independent director, if any, (v) update provisions regarding the representation of securities and interests held by the Company in other entities, (vi) update the Company’s indemnification provisions, and (vii) make certain other ministerial, technical and conforming changes.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does not purport to be complete and is qualified in its entirety by reference to the full text of the Amended and Restated Bylaws, which is filed herewith as Exhibit 3.1 to this Current Report on Form 8-K,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575"/>
        <w:gridCol w:w="120"/>
        <w:gridCol w:w="7745"/>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hyperlink w:anchor="d180372dex31.htm">
              <w:r>
                <w:rPr>
                  <w:rStyle w:val="InternetLink"/>
                </w:rPr>
                <w:t xml:space="preserve">Amended and Restated Bylaws of the Company, as adopted on August 20, 2026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hyperlink w:anchor="d180372dex101.htm">
              <w:r>
                <w:rPr>
                  <w:rStyle w:val="InternetLink"/>
                </w:rPr>
                <w:t xml:space="preserve">Executive Change in Control and Severance Policy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(or similar attachments) have been omitted pursuant to Item 601(a)(5) of Regulation S-K. The registrant hereby undertakes to furnish supplemental copies of any of the omitted schedules (or similar attachments) upon request by the SEC; provided that the registrant may request confidential treatment pursuant to Rule 24b-2 of the Securities Exchange Act of 1934, as amended, for any schedules (or similar attachments) so furnished.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80"/>
        <w:gridCol w:w="60"/>
        <w:gridCol w:w="54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b/>
              </w:rPr>
            </w:pPr>
            <w:r>
              <w:rPr>
                <w:b/>
              </w:rPr>
              <w:t>PALO ALTO NETWORKS,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Bruce Byrd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Bruce Byrd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21, 2026 </w:t>
      </w:r>
    </w:p>
    <w:p>
      <w:pPr>
        <w:pStyle w:val="TextBody"/>
        <w:bidi w:val="0"/>
        <w:spacing w:before="0" w:after="0"/>
        <w:jc w:val="right"/>
        <w:rPr>
          <w:rFonts w:ascii="Times New Roman" w:hAnsi="Times New Roman"/>
          <w:b/>
          <w:sz w:val="20"/>
        </w:rPr>
      </w:pPr>
      <w:bookmarkStart w:id="2" w:name="d180372dex31.htm"/>
      <w:bookmarkStart w:id="3" w:name="ksd180372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PALO ALTO NETWORKS, INC. </w:t>
      </w:r>
    </w:p>
    <w:p>
      <w:pPr>
        <w:pStyle w:val="TextBody"/>
        <w:bidi w:val="0"/>
        <w:spacing w:before="240" w:after="0"/>
        <w:jc w:val="center"/>
        <w:rPr>
          <w:rFonts w:ascii="Times New Roman" w:hAnsi="Times New Roman"/>
          <w:sz w:val="20"/>
        </w:rPr>
      </w:pPr>
      <w:r>
        <w:rPr>
          <w:rFonts w:ascii="Times New Roman" w:hAnsi="Times New Roman"/>
          <w:sz w:val="20"/>
        </w:rPr>
        <w:t xml:space="preserve">(initially adopted on March 2, 2005)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on August 20,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
        <w:gridCol w:w="69"/>
        <w:gridCol w:w="8981"/>
        <w:gridCol w:w="128"/>
        <w:gridCol w:w="96"/>
        <w:gridCol w:w="419"/>
        <w:gridCol w:w="63"/>
      </w:tblGrid>
      <w:tr>
        <w:trPr/>
        <w:tc>
          <w:tcPr>
            <w:tcW w:w="449"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99" w:type="dxa"/>
            <w:gridSpan w:val="3"/>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 CORPORATE OFFICES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REGISTERED OFFICE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OTHER OFFICES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 MEETINGS OF STOCKHOLDERS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PLACE OF MEETINGS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ANNUAL MEETING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SPECIAL MEETING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ADVANCE NOTICE PROCEDURES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NOTICE OF STOCKHOLDERS’ MEETINGS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QUORUM</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ADJOURNMENTS AND POSTPONEMENTS; NOTICE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CONDUCT OF BUSINESS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VOTING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STOCKHOLDER ACTION BY WRITTEN CONSENT WITHOUT A MEETING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RECORD DATES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PROXIES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LIST OF STOCKHOLDERS ENTITLED TO VOTE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INSPECTORS OF ELECTION</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PROXY ACCESS FOR DIRECTOR NOMINATIONS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 DIRECTORS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POWERS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NUMBER OF DIRECTORS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ELECTION, QUALIFICATION AND TERM OF OFFICE OF DIRECTORS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RESIGNATION AND VACANCIES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PLACE OF MEETINGS; MEETINGS BY TELEPHONE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REGULAR MEETINGS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SPECIAL MEETINGS; NOTICE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QUORUM; VOTING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BOARD ACTION BY WRITTEN CONSENT WITHOUT A MEETING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FEES AND COMPENSATION OF DIRECTORS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49" w:type="dxa"/>
            <w:tcBorders/>
            <w:vAlign w:val="center"/>
          </w:tcPr>
          <w:p>
            <w:pPr>
              <w:pStyle w:val="TableContents"/>
              <w:bidi w:val="0"/>
              <w:spacing w:before="0" w:after="283"/>
              <w:jc w:val="left"/>
              <w:rPr>
                <w:sz w:val="4"/>
                <w:szCs w:val="4"/>
              </w:rPr>
            </w:pPr>
            <w:r>
              <w:rPr>
                <w:sz w:val="4"/>
                <w:szCs w:val="4"/>
              </w:rPr>
            </w:r>
          </w:p>
        </w:tc>
        <w:tc>
          <w:tcPr>
            <w:tcW w:w="905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49"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69"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REMOVAL OF DIRECTORS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4"/>
        <w:gridCol w:w="77"/>
        <w:gridCol w:w="9109"/>
        <w:gridCol w:w="132"/>
        <w:gridCol w:w="60"/>
        <w:gridCol w:w="260"/>
        <w:gridCol w:w="63"/>
      </w:tblGrid>
      <w:tr>
        <w:trPr/>
        <w:tc>
          <w:tcPr>
            <w:tcW w:w="504"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910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 COMMITTEES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COMMITTEES OF DIRECTORS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COMMITTEE MINUTES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MEETINGS AND ACTION OF COMMITTEES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SUBCOMMITTEES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 OFFICERS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OFFICERS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APPOINTMENT OF OFFICERS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SUBORDINATE OFFICERS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REMOVAL AND RESIGNATION OF OFFICERS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VACANCIES IN OFFICES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REPRESENTATION OF SECURITIES OF OTHER ENTITIES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AUTHORITY AND DUTIES OF OFFICERS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THE CHAIRPERSON OF THE BOARD OF DIRECTORS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THE VICE CHAIRPERSON OF THE BOARD OF DIRECTORS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THE CHIEF EXECUTIVE OFFICER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THE PRESIDENT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THE VICE PRESIDENTS AND ASSISTANT VICE PRESIDENTS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THE SECRETARY AND ASSISTANT SECRETARIES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5.14</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THE CHIEF FINANCIAL OFFICER AND ASSISTANT TREASURERS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 STOCK</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STOCK CERTIFICATES; PARTLY PAID SHARES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SPECIAL DESIGNATION ON CERTIFICATES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LOST, STOLEN OR DESTROYED CERTIFICATES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DIVIDENDS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TRANSFER OF STOCK</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STOCK TRANSFER AGREEMENTS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REGISTERED STOCKHOLDERS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 MANNER OF GIVING NOTICE AND WAIVER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NOTICE OF STOCKHOLDERS’ MEETINGS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NOTICE TO STOCKHOLDERS SHARING AN ADDRESS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NOTICE TO PERSON WITH WHOM COMMUNICATION IS UNLAWFUL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504"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504"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77" w:type="dxa"/>
            <w:tcBorders/>
            <w:vAlign w:val="bottom"/>
          </w:tcPr>
          <w:p>
            <w:pPr>
              <w:pStyle w:val="TableContents"/>
              <w:bidi w:val="0"/>
              <w:spacing w:before="0" w:after="283"/>
              <w:jc w:val="left"/>
              <w:rPr/>
            </w:pPr>
            <w:r>
              <w:rPr/>
              <w:t> </w:t>
            </w:r>
          </w:p>
        </w:tc>
        <w:tc>
          <w:tcPr>
            <w:tcW w:w="9109" w:type="dxa"/>
            <w:tcBorders/>
            <w:vAlign w:val="bottom"/>
          </w:tcPr>
          <w:p>
            <w:pPr>
              <w:pStyle w:val="TableContents"/>
              <w:bidi w:val="0"/>
              <w:spacing w:before="0" w:after="283"/>
              <w:jc w:val="left"/>
              <w:rPr/>
            </w:pPr>
            <w:r>
              <w:rPr/>
              <w:t>WAIVER OF NOTICE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 INDEMNIFICATION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13395" w:type="dxa"/>
        <w:jc w:val="center"/>
        <w:tblInd w:w="0" w:type="dxa"/>
        <w:tblLayout w:type="fixed"/>
        <w:tblCellMar>
          <w:top w:w="0" w:type="dxa"/>
          <w:left w:w="0" w:type="dxa"/>
          <w:bottom w:w="0" w:type="dxa"/>
          <w:right w:w="0" w:type="dxa"/>
        </w:tblCellMar>
      </w:tblPr>
      <w:tblGrid>
        <w:gridCol w:w="380"/>
        <w:gridCol w:w="60"/>
        <w:gridCol w:w="12455"/>
        <w:gridCol w:w="120"/>
        <w:gridCol w:w="60"/>
        <w:gridCol w:w="260"/>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INDEMNIFICATION OF DIRECTORS AND OFFICERS IN THIRD PARTY PROCEEDINGS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INDEMNIFICATION OF DIRECTORS AND OFFICERS IN ACTIONS BY OR IN THE RIGHT OF THE CORPORATION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SUCCESSFUL DEFENSE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INDEMNIFICATION OF OTHERS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ADVANCED PAYMENT OF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LIMITATION ON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DETERMINATION; CLAIM</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NON-EXCLUSIVITY OF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8.9</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8.10</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SURVIVAL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8.11</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EFFECT OF REPEAL OR MODIFICATION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8.12</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CERTAIN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rHeight w:val="120" w:hRule="atLeast"/>
        </w:trPr>
        <w:tc>
          <w:tcPr>
            <w:tcW w:w="1289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89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 GENERAL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EXECUTION OF CORPORATE CONTRACTS AND INSTRUMENTS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SEAL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CONSTRUCTION;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251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60" w:type="dxa"/>
            <w:tcBorders/>
            <w:vAlign w:val="bottom"/>
          </w:tcPr>
          <w:p>
            <w:pPr>
              <w:pStyle w:val="TableContents"/>
              <w:bidi w:val="0"/>
              <w:spacing w:before="0" w:after="283"/>
              <w:jc w:val="left"/>
              <w:rPr/>
            </w:pPr>
            <w:r>
              <w:rPr/>
              <w:t> </w:t>
            </w:r>
          </w:p>
        </w:tc>
        <w:tc>
          <w:tcPr>
            <w:tcW w:w="12455" w:type="dxa"/>
            <w:tcBorders/>
            <w:vAlign w:val="bottom"/>
          </w:tcPr>
          <w:p>
            <w:pPr>
              <w:pStyle w:val="TableContents"/>
              <w:bidi w:val="0"/>
              <w:spacing w:before="0" w:after="283"/>
              <w:jc w:val="left"/>
              <w:rPr/>
            </w:pPr>
            <w:r>
              <w:rPr/>
              <w:t>FORUM FOR CERTAIN ACTIONS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r>
      <w:tr>
        <w:trPr>
          <w:trHeight w:val="120" w:hRule="atLeast"/>
        </w:trPr>
        <w:tc>
          <w:tcPr>
            <w:tcW w:w="1289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289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 AMENDMENTS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OF PALO ALTO NETWORKS,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 CORPORATE OFFICES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OFFICE </w:t>
            </w:r>
          </w:p>
        </w:tc>
      </w:tr>
    </w:tbl>
    <w:p>
      <w:pPr>
        <w:pStyle w:val="TextBody"/>
        <w:bidi w:val="0"/>
        <w:spacing w:before="120" w:after="0"/>
        <w:jc w:val="left"/>
        <w:rPr>
          <w:rFonts w:ascii="Times New Roman" w:hAnsi="Times New Roman"/>
          <w:sz w:val="20"/>
        </w:rPr>
      </w:pPr>
      <w:r>
        <w:rPr>
          <w:rFonts w:ascii="Times New Roman" w:hAnsi="Times New Roman"/>
          <w:sz w:val="20"/>
        </w:rPr>
        <w:t>The registered office of Palo Alto Networks, Inc. shall be fixed in the corporation’s certificate of incorporation. References in these bylaws to the certificate of incorporation shall mean the certificate of incorporation of the corporation, as amended from time to time, including the terms of any certificate of designations of any series of preferred stock of the corporation (“</w:t>
      </w:r>
      <w:r>
        <w:rPr>
          <w:rFonts w:ascii="Times New Roman" w:hAnsi="Times New Roman"/>
          <w:b/>
          <w:sz w:val="20"/>
        </w:rPr>
        <w:t>Preferred Stock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corporation’s board of directors may at any time establish other offices at any place or places where the corporation is qualified to do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 MEETINGS OF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OF MEETINGS </w:t>
            </w:r>
          </w:p>
        </w:tc>
      </w:tr>
    </w:tbl>
    <w:p>
      <w:pPr>
        <w:pStyle w:val="TextBody"/>
        <w:bidi w:val="0"/>
        <w:spacing w:before="120" w:after="0"/>
        <w:jc w:val="left"/>
        <w:rPr>
          <w:rFonts w:ascii="Times New Roman" w:hAnsi="Times New Roman"/>
          <w:sz w:val="20"/>
        </w:rPr>
      </w:pPr>
      <w:r>
        <w:rPr>
          <w:rFonts w:ascii="Times New Roman" w:hAnsi="Times New Roman"/>
          <w:sz w:val="20"/>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hAnsi="Times New Roman"/>
          <w:b/>
          <w:sz w:val="20"/>
        </w:rPr>
        <w:t>DGCL</w:t>
      </w:r>
      <w:r>
        <w:rPr>
          <w:rFonts w:ascii="Times New Roman" w:hAnsi="Times New Roman"/>
          <w:sz w:val="20"/>
        </w:rPr>
        <w:t xml:space="preserve">”). In the absence of any such designation or determination, stockholders’ meetings shall be held at the corporation’s principal executive office.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annual meeting of stockholders shall be held on such date, at such time, and at such place (if any) within or without the State of Delaware as shall be designated from time to time by the board of directors and stated in the corporation’s notice of the meeting. At the annual meeting, directors shall be elected and any other proper business may be transacted.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A special meeting of the stockholders, other than those required by statute, may be called at any time only by (A) the board of directors, (B) the chairperson of the board of directors, (C) the chief executive officer or (D) the president (in the absence of a chief executive officer). A special meeting of the stockholders may not be called by any other person or persons. The board of directors may cancel, postpone or reschedule any previously scheduled special meeting at any time, before or after the notice for such meeting has been sent to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(ii) The notice of a special meeting shall include the purpose for which the meeting is called. Only such business shall be conducted at a special meeting of stockholders as shall have been brought before the meeting by or at the direction of the board of directors, the chairperson of the board of directors, the chief executive officer or the president (in the absence of a chief executive officer). Nothing contained in this </w:t>
      </w:r>
      <w:r>
        <w:rPr>
          <w:rFonts w:ascii="Times New Roman" w:hAnsi="Times New Roman"/>
          <w:sz w:val="20"/>
          <w:u w:val="single"/>
        </w:rPr>
        <w:t>Section 2.3(ii)</w:t>
      </w:r>
      <w:r>
        <w:rPr>
          <w:rFonts w:ascii="Times New Roman" w:hAnsi="Times New Roman"/>
          <w:sz w:val="20"/>
        </w:rPr>
        <w:t xml:space="preserve"> shall be construed as limiting, fixing or affecting the time when a meeting of stockholders called by action of the board of directors may be held.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Advance Notice of Stockholder Business</w:t>
      </w:r>
      <w:r>
        <w:rPr>
          <w:rFonts w:ascii="Times New Roman" w:hAnsi="Times New Roman"/>
          <w:sz w:val="20"/>
        </w:rPr>
        <w:t xml:space="preserve">. At an annual meeting of the stockholders, only such business shall be conducted as shall have been properly brought before the meeting. To be properly brought before an annual meeting, business must be brought: (A) pursuant to the corporation’s proxy materials (and any supplements thereto) with respect to such meeting, (B) by or at the direction of the board of directors, or (C) by a stockholder of the corporation who (1) is a stockholder of record at the time of the giving of the notice required by this </w:t>
      </w:r>
      <w:r>
        <w:rPr>
          <w:rFonts w:ascii="Times New Roman" w:hAnsi="Times New Roman"/>
          <w:sz w:val="20"/>
          <w:u w:val="single"/>
        </w:rPr>
        <w:t>Section 2.4(i)</w:t>
      </w:r>
      <w:r>
        <w:rPr>
          <w:rFonts w:ascii="Times New Roman" w:hAnsi="Times New Roman"/>
          <w:sz w:val="20"/>
        </w:rPr>
        <w:t xml:space="preserve"> and on the record date for the determination of stockholders entitled to vote at the annual meeting through the time of the annual meeting (including any postponement or adjournment thereof) and (2) has timely complied in proper written form with the notice procedures set forth in this </w:t>
      </w:r>
      <w:r>
        <w:rPr>
          <w:rFonts w:ascii="Times New Roman" w:hAnsi="Times New Roman"/>
          <w:sz w:val="20"/>
          <w:u w:val="single"/>
        </w:rPr>
        <w:t>Section 2.4(i)</w:t>
      </w:r>
      <w:r>
        <w:rPr>
          <w:rFonts w:ascii="Times New Roman" w:hAnsi="Times New Roman"/>
          <w:sz w:val="20"/>
        </w:rPr>
        <w:t xml:space="preserve"> and </w:t>
      </w:r>
      <w:r>
        <w:rPr>
          <w:rFonts w:ascii="Times New Roman" w:hAnsi="Times New Roman"/>
          <w:sz w:val="20"/>
          <w:u w:val="single"/>
        </w:rPr>
        <w:t>Section 2.4(iii)</w:t>
      </w:r>
      <w:r>
        <w:rPr>
          <w:rFonts w:ascii="Times New Roman" w:hAnsi="Times New Roman"/>
          <w:sz w:val="20"/>
        </w:rPr>
        <w:t>.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Exchange Act of 1934, as amended, or any successor thereto (the “</w:t>
      </w:r>
      <w:r>
        <w:rPr>
          <w:rFonts w:ascii="Times New Roman" w:hAnsi="Times New Roman"/>
          <w:b/>
          <w:sz w:val="20"/>
        </w:rPr>
        <w:t>1934 Act</w:t>
      </w:r>
      <w:r>
        <w:rPr>
          <w:rFonts w:ascii="Times New Roman" w:hAnsi="Times New Roman"/>
          <w:sz w:val="20"/>
        </w:rPr>
        <w:t xml:space="preserve">”), and the rules and regulations thereunder (as so amended and inclusive of such rules and regulations), and included in the notice of meeting given by or at the direction of the board of directors, for the avoidance of doubt, clause (C) above shall be the exclusive means for a stockholder to bring business before an annual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 To comply with clause (C) of </w:t>
      </w:r>
      <w:r>
        <w:rPr>
          <w:rFonts w:ascii="Times New Roman" w:hAnsi="Times New Roman"/>
          <w:sz w:val="20"/>
          <w:u w:val="single"/>
        </w:rPr>
        <w:t>Section 2.4(i)</w:t>
      </w:r>
      <w:r>
        <w:rPr>
          <w:rFonts w:ascii="Times New Roman" w:hAnsi="Times New Roman"/>
          <w:sz w:val="20"/>
        </w:rPr>
        <w:t xml:space="preserve"> above, a stockholder’s notice must set forth all information required under this </w:t>
      </w:r>
      <w:r>
        <w:rPr>
          <w:rFonts w:ascii="Times New Roman" w:hAnsi="Times New Roman"/>
          <w:sz w:val="20"/>
          <w:u w:val="single"/>
        </w:rPr>
        <w:t>Section 2.4(i)</w:t>
      </w:r>
      <w:r>
        <w:rPr>
          <w:rFonts w:ascii="Times New Roman" w:hAnsi="Times New Roman"/>
          <w:sz w:val="20"/>
        </w:rPr>
        <w:t xml:space="preserve"> and </w:t>
      </w:r>
      <w:r>
        <w:rPr>
          <w:rFonts w:ascii="Times New Roman" w:hAnsi="Times New Roman"/>
          <w:sz w:val="20"/>
          <w:u w:val="single"/>
        </w:rPr>
        <w:t>Section 2.4(iii)</w:t>
      </w:r>
      <w:r>
        <w:rPr>
          <w:rFonts w:ascii="Times New Roman" w:hAnsi="Times New Roman"/>
          <w:sz w:val="20"/>
        </w:rPr>
        <w:t xml:space="preserve"> and must be timely received by the secretary of the corporation. To be timely, a stockholder’s notice must be received by the secretary during business hours at the principal executive offices of the corporation not later than 5:00 p.m. Pacific Time on the 90th day nor earlier than 5:00 p.m. Pacific Time on the 120th day before the one-year anniversary of the date of the preceding year’s annual meeting.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during business hours not earlier than 5:00 p.m. Pacific Time on the 120th day prior to such annual meeting and not later than 5:00 p.m. Pacific Time on the later of (i) the 90th day prior to such annual meeting and (ii) the tenth day following the day on which Public Announcement (as defined below) of the date of such annual meeting is first made by the corporation. In no event shall any adjournment or postponement of an annual meeting or the Public Announcement thereof commence a new time period for the giving of a stockholder’s notice as described in this </w:t>
      </w:r>
      <w:r>
        <w:rPr>
          <w:rFonts w:ascii="Times New Roman" w:hAnsi="Times New Roman"/>
          <w:sz w:val="20"/>
          <w:u w:val="single"/>
        </w:rPr>
        <w:t>Section 2.4(i)(a)</w:t>
      </w:r>
      <w:r>
        <w:rPr>
          <w:rFonts w:ascii="Times New Roman" w:hAnsi="Times New Roman"/>
          <w:sz w:val="20"/>
        </w:rPr>
        <w:t>. “</w:t>
      </w:r>
      <w:r>
        <w:rPr>
          <w:rFonts w:ascii="Times New Roman" w:hAnsi="Times New Roman"/>
          <w:b/>
          <w:sz w:val="20"/>
        </w:rPr>
        <w:t>Public Announcement</w:t>
      </w:r>
      <w:r>
        <w:rPr>
          <w:rFonts w:ascii="Times New Roman" w:hAnsi="Times New Roman"/>
          <w:sz w:val="20"/>
        </w:rPr>
        <w:t>” shall mean disclosure in a press release reported by the Dow Jones News Service, Associated Press or a comparable national news service or in a document publicly filed by the corporation with the Securities and Exchange Commission (the “</w:t>
      </w:r>
      <w:r>
        <w:rPr>
          <w:rFonts w:ascii="Times New Roman" w:hAnsi="Times New Roman"/>
          <w:b/>
          <w:sz w:val="20"/>
        </w:rPr>
        <w:t>SEC</w:t>
      </w:r>
      <w:r>
        <w:rPr>
          <w:rFonts w:ascii="Times New Roman" w:hAnsi="Times New Roman"/>
          <w:sz w:val="20"/>
        </w:rPr>
        <w:t xml:space="preserve">”) pursuant to Section 13, 14 or 15(d) of the 1934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be in proper written form, a stockholder’s notice to the secretary must set forth as to each matter of business the stockholder intends to bring before the annual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brief description of the business intended to be brought before the annual meeting and the reasons for conducting such business at the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text of the proposal or business (including the text of any resolutions proposed for consideration and, in the event that such business includes a proposal to amend the certificate of incorporation or the bylaws, the text of the proposed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and address, as they appear on the corporation’s books, of the stockholder proposing the business or making the nomination and any Stockholder Associated Person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the class and number of shares or other securities of the corporation and any affiliate thereof (collectively, the “</w:t>
            </w:r>
            <w:r>
              <w:rPr>
                <w:rFonts w:ascii="Times New Roman" w:hAnsi="Times New Roman"/>
                <w:b/>
                <w:sz w:val="20"/>
              </w:rPr>
              <w:t>Company Securities</w:t>
            </w:r>
            <w:r>
              <w:rPr>
                <w:rFonts w:ascii="Times New Roman" w:hAnsi="Times New Roman"/>
                <w:sz w:val="20"/>
              </w:rPr>
              <w:t xml:space="preserve">”) that are held of record or are beneficially owned (specifying the type of ownership) by such stockholder or any Stockholder Associated Person (including any right to acquire beneficial ownership at any time in the future, whether such right is exercisable immediately or only after the passage of time or the fulfillment of a condition) and any derivative positions held or beneficially held by the stockholder or any Stockholder Associated Person, the date or dates on which each such Company Security was acquired and evidence of such beneficial or record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each nominee holder for, and number of, any Company Securities owned beneficially but not of record by such stockholder or Stockholder Associated Person and any pledge by such stockholder or any Stockholder Associated Person with respect to any of such Company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any material interest, direct or indirect (including any existing or prospective commercial, business or contractual relationship) in such business of the stockholder or, to the knowledge of the stockholder (or the beneficial owner(s) on whose behalf the stockholder is submitting a notice to the corporation), any Stockholder Associated Person, individually or in the aggregate, including any anticipated benefit to the stockholder or any Stockholder Associated Person therefrom, other than an interest arising from the ownership of Company Securities where such stockholder or such Stockholder Associated Person receives no extra or special benefit not shared on a </w:t>
            </w:r>
            <w:r>
              <w:rPr>
                <w:rFonts w:ascii="Times New Roman" w:hAnsi="Times New Roman"/>
                <w:i/>
                <w:sz w:val="20"/>
              </w:rPr>
              <w:t>pro rata</w:t>
            </w:r>
            <w:r>
              <w:rPr>
                <w:rFonts w:ascii="Times New Roman" w:hAnsi="Times New Roman"/>
                <w:sz w:val="20"/>
              </w:rPr>
              <w:t xml:space="preserve"> basis by all other holders of the same class or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information that would be required to be disclosed in a proxy statement in connection with the solicitation of proxies in support of such proposed business by such stockholder or any Stockholder Associated Person, or is otherwise required, in each case pursuant to and in accordance with, Section 14(a) of the 1934 Act and the rules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(7) of this </w:t>
            </w:r>
            <w:r>
              <w:rPr>
                <w:rFonts w:ascii="Times New Roman" w:hAnsi="Times New Roman"/>
                <w:sz w:val="20"/>
                <w:u w:val="single"/>
              </w:rPr>
              <w:t>Section 2.4(b)</w:t>
            </w:r>
            <w:r>
              <w:rPr>
                <w:rFonts w:ascii="Times New Roman" w:hAnsi="Times New Roman"/>
                <w:sz w:val="20"/>
              </w:rPr>
              <w:t>, a “</w:t>
            </w:r>
            <w:r>
              <w:rPr>
                <w:rFonts w:ascii="Times New Roman" w:hAnsi="Times New Roman"/>
                <w:b/>
                <w:sz w:val="20"/>
              </w:rPr>
              <w:t>Business Solicitation Statement</w:t>
            </w:r>
            <w:r>
              <w:rPr>
                <w:rFonts w:ascii="Times New Roman" w:hAnsi="Times New Roman"/>
                <w:sz w:val="20"/>
              </w:rPr>
              <w:t xml:space="preserve">”). In addition, to be in proper written form, a stockholder’s notice to the secretary must be updated not later than 10 days following the record date for notice of the meeting to disclose the information required by clauses (3) and (4) of this </w:t>
            </w:r>
            <w:r>
              <w:rPr>
                <w:rFonts w:ascii="Times New Roman" w:hAnsi="Times New Roman"/>
                <w:sz w:val="20"/>
                <w:u w:val="single"/>
              </w:rPr>
              <w:t>Section 2.4(b)</w:t>
            </w:r>
            <w:r>
              <w:rPr>
                <w:rFonts w:ascii="Times New Roman" w:hAnsi="Times New Roman"/>
                <w:sz w:val="20"/>
              </w:rPr>
              <w:t xml:space="preserve"> as of the record date for notice of the meeting. For purposes of this </w:t>
            </w:r>
            <w:r>
              <w:rPr>
                <w:rFonts w:ascii="Times New Roman" w:hAnsi="Times New Roman"/>
                <w:sz w:val="20"/>
                <w:u w:val="single"/>
              </w:rPr>
              <w:t>Section 2.4</w:t>
            </w:r>
            <w:r>
              <w:rPr>
                <w:rFonts w:ascii="Times New Roman" w:hAnsi="Times New Roman"/>
                <w:sz w:val="20"/>
              </w:rPr>
              <w:t>, “</w:t>
            </w:r>
            <w:r>
              <w:rPr>
                <w:rFonts w:ascii="Times New Roman" w:hAnsi="Times New Roman"/>
                <w:b/>
                <w:sz w:val="20"/>
              </w:rPr>
              <w:t>Affiliate</w:t>
            </w:r>
            <w:r>
              <w:rPr>
                <w:rFonts w:ascii="Times New Roman" w:hAnsi="Times New Roman"/>
                <w:sz w:val="20"/>
              </w:rPr>
              <w:t>” and “</w:t>
            </w:r>
            <w:r>
              <w:rPr>
                <w:rFonts w:ascii="Times New Roman" w:hAnsi="Times New Roman"/>
                <w:b/>
                <w:sz w:val="20"/>
              </w:rPr>
              <w:t>Associate</w:t>
            </w:r>
            <w:r>
              <w:rPr>
                <w:rFonts w:ascii="Times New Roman" w:hAnsi="Times New Roman"/>
                <w:sz w:val="20"/>
              </w:rPr>
              <w:t xml:space="preserve">” each shall have the respective meanings set forth in Rule 12b-2 under the 1934 Act. For purposes of this </w:t>
            </w:r>
            <w:r>
              <w:rPr>
                <w:rFonts w:ascii="Times New Roman" w:hAnsi="Times New Roman"/>
                <w:sz w:val="20"/>
                <w:u w:val="single"/>
              </w:rPr>
              <w:t>Section 2.4</w:t>
            </w:r>
            <w:r>
              <w:rPr>
                <w:rFonts w:ascii="Times New Roman" w:hAnsi="Times New Roman"/>
                <w:sz w:val="20"/>
              </w:rPr>
              <w:t>, a “</w:t>
            </w:r>
            <w:r>
              <w:rPr>
                <w:rFonts w:ascii="Times New Roman" w:hAnsi="Times New Roman"/>
                <w:b/>
                <w:sz w:val="20"/>
              </w:rPr>
              <w:t>Stockholder Associated Person</w:t>
            </w:r>
            <w:r>
              <w:rPr>
                <w:rFonts w:ascii="Times New Roman" w:hAnsi="Times New Roman"/>
                <w:sz w:val="20"/>
              </w:rPr>
              <w:t>” of any stockholder shall mean, with respect to such stockholder and if different from such stockholder, any beneficial owner of shares of stock of the corporation on whose behalf such stockholder is providing notice of any nomination or other proposal: (i) any person or entity who is a member of a group (as such term is used in Rule 13d-5 under the 1934 Act) with such stockholder or such beneficial owner(s) with respect to acquiring, holding, voting or disposing of any Company Securities, (ii) any Affiliate or Associate of such stockholder (other than a stockholder that is an Exempt Party) or such beneficial owner(s), (iii) any participant (as defined in Instruction 3 to Item 4 of Schedule 14A) with such stockholder or such beneficial owner(s) with respect to any proposed business or nomination, as applicable, (iv) any beneficial owner of shares of stock of the corporation owned of record by such stockholder (other than a stockholder that is an Exempt Party) and (v) any proposed nominee. An “</w:t>
            </w:r>
            <w:r>
              <w:rPr>
                <w:rFonts w:ascii="Times New Roman" w:hAnsi="Times New Roman"/>
                <w:b/>
                <w:sz w:val="20"/>
              </w:rPr>
              <w:t>Exempt Party</w:t>
            </w:r>
            <w:r>
              <w:rPr>
                <w:rFonts w:ascii="Times New Roman" w:hAnsi="Times New Roman"/>
                <w:sz w:val="20"/>
              </w:rPr>
              <w:t xml:space="preserve">” shall mean any depositary or any broker, dealer, commercial bank, trust company or other nominee subject to this </w:t>
            </w:r>
            <w:r>
              <w:rPr>
                <w:rFonts w:ascii="Times New Roman" w:hAnsi="Times New Roman"/>
                <w:sz w:val="20"/>
                <w:u w:val="single"/>
              </w:rPr>
              <w:t>Section 2.4</w:t>
            </w:r>
            <w:r>
              <w:rPr>
                <w:rFonts w:ascii="Times New Roman" w:hAnsi="Times New Roman"/>
                <w:sz w:val="20"/>
              </w:rPr>
              <w:t xml:space="preserve"> solely as a result of being the stockholder directed to prepare and submit the notice required by these bylaws on behalf of a beneficial owner.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Without exception, no business shall be conducted at any annual meeting except in accordance with the provisions set forth in this </w:t>
      </w:r>
      <w:r>
        <w:rPr>
          <w:rFonts w:ascii="Times New Roman" w:hAnsi="Times New Roman"/>
          <w:sz w:val="20"/>
          <w:u w:val="single"/>
        </w:rPr>
        <w:t>Section 2.4(i)</w:t>
      </w:r>
      <w:r>
        <w:rPr>
          <w:rFonts w:ascii="Times New Roman" w:hAnsi="Times New Roman"/>
          <w:sz w:val="20"/>
        </w:rPr>
        <w:t xml:space="preserve"> and, if applicable, </w:t>
      </w:r>
      <w:r>
        <w:rPr>
          <w:rFonts w:ascii="Times New Roman" w:hAnsi="Times New Roman"/>
          <w:sz w:val="20"/>
          <w:u w:val="single"/>
        </w:rPr>
        <w:t>Section 2.4(ii)</w:t>
      </w:r>
      <w:r>
        <w:rPr>
          <w:rFonts w:ascii="Times New Roman" w:hAnsi="Times New Roman"/>
          <w:sz w:val="20"/>
        </w:rPr>
        <w:t xml:space="preserve">. In addition, business proposed to be brought by a stockholder may not be brought before the annual meeting if such stockholder or a Stockholder Associated Person, as applicable, takes action contrary to the representations made in the Business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applicable to such business or if the Business Solicitation Statement applicable to such business contains an untrue statement of a material fact or omits to state a material fact necessary to make the statements therein, in light of the circumstances under which they are made, not misleading. The chairperson of the annual meeting shall, if the facts warrant, determine and declare at the annual meeting that business was not properly brought before the annual meeting and in accordance with the provisions of this </w:t>
      </w:r>
      <w:r>
        <w:rPr>
          <w:rFonts w:ascii="Times New Roman" w:hAnsi="Times New Roman"/>
          <w:sz w:val="20"/>
          <w:u w:val="single"/>
        </w:rPr>
        <w:t>Section 2.4(i)</w:t>
      </w:r>
      <w:r>
        <w:rPr>
          <w:rFonts w:ascii="Times New Roman" w:hAnsi="Times New Roman"/>
          <w:sz w:val="20"/>
        </w:rPr>
        <w:t xml:space="preserve">, and, if the chairperson should so determine, he or she shall so declare at the annual meeting that any such business not properly brought before the annual meeting shall not be conducted, notwithstanding that proxies with respect to such vote may have been received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Advance Notice of Director Nominations at Annual Meetings</w:t>
      </w:r>
      <w:r>
        <w:rPr>
          <w:rFonts w:ascii="Times New Roman" w:hAnsi="Times New Roman"/>
          <w:sz w:val="20"/>
        </w:rPr>
        <w:t xml:space="preserve">. Notwithstanding anything in these bylaws to the contrary, only persons who are nominated in accordance with the procedures set forth in this </w:t>
      </w:r>
      <w:r>
        <w:rPr>
          <w:rFonts w:ascii="Times New Roman" w:hAnsi="Times New Roman"/>
          <w:sz w:val="20"/>
          <w:u w:val="single"/>
        </w:rPr>
        <w:t>Section 2.4(ii)</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shall be eligible for election or re-election as directors at an annual meeting of stockholders. Nominations of persons for election or re-election to the board of directors of the corporation shall be made at an annual meeting of stockholders only (A) by or at the direction of the board of directors, (B) by a stockholder of the corporation who (1) was a stockholder of record at the time of the giving of the notice required by this </w:t>
      </w:r>
      <w:r>
        <w:rPr>
          <w:rFonts w:ascii="Times New Roman" w:hAnsi="Times New Roman"/>
          <w:sz w:val="20"/>
          <w:u w:val="single"/>
        </w:rPr>
        <w:t>Section 2.4(ii)</w:t>
      </w:r>
      <w:r>
        <w:rPr>
          <w:rFonts w:ascii="Times New Roman" w:hAnsi="Times New Roman"/>
          <w:sz w:val="20"/>
        </w:rPr>
        <w:t xml:space="preserve">, on the record date for the determination of stockholders entitled to vote at the annual meeting through the time of the annual meeting (including any postponement or adjournment thereof) and (2) has complied with the notice procedures set forth in this </w:t>
      </w:r>
      <w:r>
        <w:rPr>
          <w:rFonts w:ascii="Times New Roman" w:hAnsi="Times New Roman"/>
          <w:sz w:val="20"/>
          <w:u w:val="single"/>
        </w:rPr>
        <w:t>Section 2.4(ii)</w:t>
      </w:r>
      <w:r>
        <w:rPr>
          <w:rFonts w:ascii="Times New Roman" w:hAnsi="Times New Roman"/>
          <w:sz w:val="20"/>
        </w:rPr>
        <w:t xml:space="preserve"> and </w:t>
      </w:r>
      <w:r>
        <w:rPr>
          <w:rFonts w:ascii="Times New Roman" w:hAnsi="Times New Roman"/>
          <w:sz w:val="20"/>
          <w:u w:val="single"/>
        </w:rPr>
        <w:t>Section 2.4(iii)</w:t>
      </w:r>
      <w:r>
        <w:rPr>
          <w:rFonts w:ascii="Times New Roman" w:hAnsi="Times New Roman"/>
          <w:sz w:val="20"/>
        </w:rPr>
        <w:t xml:space="preserve"> or (C) in compliance with </w:t>
      </w:r>
      <w:r>
        <w:rPr>
          <w:rFonts w:ascii="Times New Roman" w:hAnsi="Times New Roman"/>
          <w:sz w:val="20"/>
          <w:u w:val="single"/>
        </w:rPr>
        <w:t>Section 2.15</w:t>
      </w:r>
      <w:r>
        <w:rPr>
          <w:rFonts w:ascii="Times New Roman" w:hAnsi="Times New Roman"/>
          <w:sz w:val="20"/>
        </w:rPr>
        <w:t xml:space="preserve">. In addition to any other applicable requirements, for a nomination to be made by a stockholder, the stockholder must have given timely notice thereof in proper written form to the secretary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(a) To comply with clause (B) of </w:t>
      </w:r>
      <w:r>
        <w:rPr>
          <w:rFonts w:ascii="Times New Roman" w:hAnsi="Times New Roman"/>
          <w:sz w:val="20"/>
          <w:u w:val="single"/>
        </w:rPr>
        <w:t>Section 2.4(ii)</w:t>
      </w:r>
      <w:r>
        <w:rPr>
          <w:rFonts w:ascii="Times New Roman" w:hAnsi="Times New Roman"/>
          <w:sz w:val="20"/>
        </w:rPr>
        <w:t xml:space="preserve"> above, a notice to be made by a stockholder must set forth all information required under this </w:t>
      </w:r>
      <w:r>
        <w:rPr>
          <w:rFonts w:ascii="Times New Roman" w:hAnsi="Times New Roman"/>
          <w:sz w:val="20"/>
          <w:u w:val="single"/>
        </w:rPr>
        <w:t>Section 2.4(ii)</w:t>
      </w:r>
      <w:r>
        <w:rPr>
          <w:rFonts w:ascii="Times New Roman" w:hAnsi="Times New Roman"/>
          <w:sz w:val="20"/>
        </w:rPr>
        <w:t xml:space="preserve"> and </w:t>
      </w:r>
      <w:r>
        <w:rPr>
          <w:rFonts w:ascii="Times New Roman" w:hAnsi="Times New Roman"/>
          <w:sz w:val="20"/>
          <w:u w:val="single"/>
        </w:rPr>
        <w:t>Section 2.4(iii)</w:t>
      </w:r>
      <w:r>
        <w:rPr>
          <w:rFonts w:ascii="Times New Roman" w:hAnsi="Times New Roman"/>
          <w:sz w:val="20"/>
        </w:rPr>
        <w:t xml:space="preserve"> and shall be delivered to the secretary of the corporation during business hours at the principal executive offices of the corporation in accordance with </w:t>
      </w:r>
      <w:r>
        <w:rPr>
          <w:rFonts w:ascii="Times New Roman" w:hAnsi="Times New Roman"/>
          <w:sz w:val="20"/>
          <w:u w:val="single"/>
        </w:rPr>
        <w:t>Section 2.4(i)(a)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Such stockholder’s notice shall set forth as to each person (each, a “</w:t>
      </w:r>
      <w:r>
        <w:rPr>
          <w:rFonts w:ascii="Times New Roman" w:hAnsi="Times New Roman"/>
          <w:b/>
          <w:sz w:val="20"/>
        </w:rPr>
        <w:t>nominee</w:t>
      </w:r>
      <w:r>
        <w:rPr>
          <w:rFonts w:ascii="Times New Roman" w:hAnsi="Times New Roman"/>
          <w:sz w:val="20"/>
        </w:rPr>
        <w:t xml:space="preserve">”) whom the stockholder proposes to nominate for election or re-election as a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age, business address and residence address of the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occupation and employment of the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Securities that are held of record or are beneficially owned (specifying the type of ownership) by such nominee (including any right to acquire beneficial ownership at any time in the future, whether such right is exercisable immediately or only after the passage of time or the fulfillment of a condition) and any Derivative Instruments held or beneficially held by the nominee, the date or date(s) on which each such Company Security was acquired and evidence of such beneficial or record ownership;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written questionnaire with respect to the background and qualifications of such nominee completed by the nominee in the form required by the corporation (in the form to be provided by the secretary of the corporation within 10 days of receiving a written request therefor from any stockholder of record identified by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the nominee’s written representation and agreement in the form required by the corporation (in the form to be provided by the secretary of the corporation within 10 days of receiving such a written request therefor from any stockholder of record identified by name) that: (A) such nominee is not, and will not become party to, any agreement, arrangement or understanding with, and has not given any commitment or assurance to, any person or entity as to how such person, if elected as a director of the corporation, will act or vote on any issue or question (a “</w:t>
            </w:r>
            <w:r>
              <w:rPr>
                <w:rFonts w:ascii="Times New Roman" w:hAnsi="Times New Roman"/>
                <w:b/>
                <w:sz w:val="20"/>
              </w:rPr>
              <w:t>Voting Commitment</w:t>
            </w:r>
            <w:r>
              <w:rPr>
                <w:rFonts w:ascii="Times New Roman" w:hAnsi="Times New Roman"/>
                <w:sz w:val="20"/>
              </w:rPr>
              <w:t xml:space="preserve">”) that has not been disclosed to the corporation or any Voting Commitment that could limit or interfere with such person’s ability to comply, if elected as a director of the corporation, with such person’s fiduciary duties under applicable law; (B) such nominee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with respect to the corporation that has not been disclosed to the corporation; (C) such nominee will, if elected as a director, comply with all applicable rules of any securities exchanges upon which the corporation’s shares of common stock trade, the certificate of incorporation, these bylaws, all of the corporation’s corporate governance, ethics, conflict of interest, confidentiality and stock ownership and trading policies and all other guidelines and policies applicable generally to the corporation’s directors (which other guidelines and policies will be provided to such nominee within five business days after the secretary of the corporation receives any request therefor from such nominee) as well as applicable fiduciary duties under state law, (D) consents to being named as a nominee in the corporation’s proxy statement and form of proxy for the meeting and consents to the public disclosure of information regarding or relating to such nominee provided to the corporation by such nominee or otherwise pursuant to this </w:t>
            </w:r>
            <w:r>
              <w:rPr>
                <w:rFonts w:ascii="Times New Roman" w:hAnsi="Times New Roman"/>
                <w:sz w:val="20"/>
                <w:u w:val="single"/>
              </w:rPr>
              <w:t>Section 2.4(ii)</w:t>
            </w:r>
            <w:r>
              <w:rPr>
                <w:rFonts w:ascii="Times New Roman" w:hAnsi="Times New Roman"/>
                <w:sz w:val="20"/>
              </w:rPr>
              <w:t xml:space="preserve">; (E) such nominee intends to serve a full term if elected as a director of the corporation; and (F) such nominee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 in any material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all direct and indirect compensation and other material monetary agreements, arrangements or understandings, and any other material relationships, during the past three years between or among such nominee, on the one hand, and any such stockholder or any Stockholder Associated Person, on the other hand, or that such stockholder knows any of such nominee’s Associates has with any such stockholder or any Stockholder Associated Person, including all information that would be required to be disclosed pursuant to Item 404 promulgated under Regulation S-K of the 1934 Act, as if the stockholder making the nomination and any Stockholder Associated Person were the “registrant” for purposes of such regulation and the nominee were a director or executive officer of such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any business or personal interests that would reasonably be expected to place such nominee in a potential conflict of interest with the corporation or any of its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that would be required to be disclosed if proxies were being solicited for the election or re-election of the nominee as a director, or that is otherwise required, in each case pursuant to Regulation 14A under the 1934 Act (including, without limitation, disclosures required in connection with a contested election of directors, and the nominee’s written consent to being named in the proxy statement, if any, as a nominee).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Such stockholder’s notice shall set forth as to the stockholder giving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required to be provided pursuant to clauses (3) through (8) of </w:t>
            </w:r>
            <w:r>
              <w:rPr>
                <w:rFonts w:ascii="Times New Roman" w:hAnsi="Times New Roman"/>
                <w:sz w:val="20"/>
                <w:u w:val="single"/>
              </w:rPr>
              <w:t>Section 2.4(i)(b)</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whether either such stockholder or a Stockholder Associated Person will deliver a proxy statement and form of proxy to holders of a number of the corporation’s voting shares reasonably believed by such stockholder or Stockholder Associated Person to be necessary to elect or re-elect such nominee(s);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representation regarding whether such stockholder or a Stockholder Associated Person intends to solicit proxies in support of director nominees other than the corporation’s nominees in accordance with Rule 14a-19 promulgated under the 1934 Act, and, in the event that such stockholder or Stockholder Associated Person so intends, such stockholder’s notice shall also include a statement that such stockholder or Stockholder Associated Person intends to solicit the holders of shares representing at least 67% of the voting power of the corporation’s shares entitled to vote on the election of directors in support of such director nominees other than the corporation’s nominees (such information provided and statements and representations made as required by this </w:t>
            </w:r>
            <w:r>
              <w:rPr>
                <w:rFonts w:ascii="Times New Roman" w:hAnsi="Times New Roman"/>
                <w:sz w:val="20"/>
                <w:u w:val="single"/>
              </w:rPr>
              <w:t>Section 2.4(ii)(c)</w:t>
            </w:r>
            <w:r>
              <w:rPr>
                <w:rFonts w:ascii="Times New Roman" w:hAnsi="Times New Roman"/>
                <w:sz w:val="20"/>
              </w:rPr>
              <w:t>, a “</w:t>
            </w:r>
            <w:r>
              <w:rPr>
                <w:rFonts w:ascii="Times New Roman" w:hAnsi="Times New Roman"/>
                <w:b/>
                <w:sz w:val="20"/>
              </w:rPr>
              <w:t>Nominee Solicitation Statement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At the request of the board of directors, any person nominated by a stockholder for election or re-election as a director must furnish to the secretary of the corporation, within five business days of such request, (A) that information required to be set forth in the stockholder’s notice of nomination of such person as a director as of a date subsequent to the date on which the notice of such person’s nomination was given, (B) such other information as may reasonably be required by the corporation to determine the eligibility of such proposed nominee to serve as an independent director or audit committee financial expert of the corporation under applicable law, securities exchange rule or regulation, or any publicly disclosed corporate governance guideline or committee charter of the corporation, (C) such other information that could be material to a reasonable stockholder’s understanding of the independence, or lack thereof, of such nominee, and (D) such other information that the corporation may reasonably require with respect to such nominee. In the absence of the furnishing of such information, such stockholder’s nomination of such nominee shall not be considered in proper form pursuant to this </w:t>
      </w:r>
      <w:r>
        <w:rPr>
          <w:rFonts w:ascii="Times New Roman" w:hAnsi="Times New Roman"/>
          <w:sz w:val="20"/>
          <w:u w:val="single"/>
        </w:rPr>
        <w:t>Section 2.4(ii)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Without exception, no person shall be eligible for election or re-election as a director of the corporation at an annual meeting of stockholders unless nominated in accordance with the provisions set forth in this </w:t>
      </w:r>
      <w:r>
        <w:rPr>
          <w:rFonts w:ascii="Times New Roman" w:hAnsi="Times New Roman"/>
          <w:sz w:val="20"/>
          <w:u w:val="single"/>
        </w:rPr>
        <w:t>Section 2.4(ii)</w:t>
      </w:r>
      <w:r>
        <w:rPr>
          <w:rFonts w:ascii="Times New Roman" w:hAnsi="Times New Roman"/>
          <w:sz w:val="20"/>
        </w:rPr>
        <w:t xml:space="preserve">.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in light of the circumstances under which they are made.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Additional Disclosure Requirements</w:t>
      </w:r>
      <w:r>
        <w:rPr>
          <w:rFonts w:ascii="Times New Roman" w:hAnsi="Times New Roman"/>
          <w:sz w:val="20"/>
        </w:rPr>
        <w:t xml:space="preserve">. For any business or nomination to be properly brought before an annual meeting by a stockholder under </w:t>
      </w:r>
      <w:r>
        <w:rPr>
          <w:rFonts w:ascii="Times New Roman" w:hAnsi="Times New Roman"/>
          <w:sz w:val="20"/>
          <w:u w:val="single"/>
        </w:rPr>
        <w:t>Section 2.4(i)</w:t>
      </w:r>
      <w:r>
        <w:rPr>
          <w:rFonts w:ascii="Times New Roman" w:hAnsi="Times New Roman"/>
          <w:sz w:val="20"/>
        </w:rPr>
        <w:t xml:space="preserve"> and </w:t>
      </w:r>
      <w:r>
        <w:rPr>
          <w:rFonts w:ascii="Times New Roman" w:hAnsi="Times New Roman"/>
          <w:sz w:val="20"/>
          <w:u w:val="single"/>
        </w:rPr>
        <w:t>Section 2.4(ii)</w:t>
      </w:r>
      <w:r>
        <w:rPr>
          <w:rFonts w:ascii="Times New Roman" w:hAnsi="Times New Roman"/>
          <w:sz w:val="20"/>
        </w:rPr>
        <w:t xml:space="preserve">, such stockholder must provide (A) a representation that such stockholder is a holder of record of stock of the corporation and intends to appear in person or by proxy at the meeting to propose such business or nomination, (B) an acknowledgement that if such stockholder does not appear to present such business or nomination, as applicable, at such meeting, the corporation need not present such business or nominee for a vote at such meeting, notwithstanding that proxies in respect of such vote may have been received by the corporation, and (C) as to such stockholder and any Stockholder Associated Person, all other information that would be required to be disclosed in solicitations of proxies in support of such business or nomination or is otherwise required, in each case, pursuant to and in accordance with Section 14(a) of the 1934 Act, and the rules and regulations promulgated thereunder. In addition, the following information must also be provided as to any stockholder giving notice under </w:t>
      </w:r>
      <w:r>
        <w:rPr>
          <w:rFonts w:ascii="Times New Roman" w:hAnsi="Times New Roman"/>
          <w:sz w:val="20"/>
          <w:u w:val="single"/>
        </w:rPr>
        <w:t>Section 2.4(i)</w:t>
      </w:r>
      <w:r>
        <w:rPr>
          <w:rFonts w:ascii="Times New Roman" w:hAnsi="Times New Roman"/>
          <w:sz w:val="20"/>
        </w:rPr>
        <w:t xml:space="preserve"> and </w:t>
      </w:r>
      <w:r>
        <w:rPr>
          <w:rFonts w:ascii="Times New Roman" w:hAnsi="Times New Roman"/>
          <w:sz w:val="20"/>
          <w:u w:val="single"/>
        </w:rPr>
        <w:t>Section 2.4(ii)</w:t>
      </w:r>
      <w:r>
        <w:rPr>
          <w:rFonts w:ascii="Times New Roman" w:hAnsi="Times New Roman"/>
          <w:sz w:val="20"/>
        </w:rPr>
        <w:t xml:space="preserve">, any nominee under </w:t>
      </w:r>
      <w:r>
        <w:rPr>
          <w:rFonts w:ascii="Times New Roman" w:hAnsi="Times New Roman"/>
          <w:sz w:val="20"/>
          <w:u w:val="single"/>
        </w:rPr>
        <w:t xml:space="preserve">Section 2.4(ii) </w:t>
      </w:r>
      <w:r>
        <w:rPr>
          <w:rFonts w:ascii="Times New Roman" w:hAnsi="Times New Roman"/>
          <w:sz w:val="20"/>
        </w:rPr>
        <w:t xml:space="preserve">and any Stockholder Associated Person under </w:t>
      </w:r>
      <w:r>
        <w:rPr>
          <w:rFonts w:ascii="Times New Roman" w:hAnsi="Times New Roman"/>
          <w:sz w:val="20"/>
          <w:u w:val="single"/>
        </w:rPr>
        <w:t>Section 2.4(i)</w:t>
      </w:r>
      <w:r>
        <w:rPr>
          <w:rFonts w:ascii="Times New Roman" w:hAnsi="Times New Roman"/>
          <w:sz w:val="20"/>
        </w:rPr>
        <w:t xml:space="preserve"> or </w:t>
      </w:r>
      <w:r>
        <w:rPr>
          <w:rFonts w:ascii="Times New Roman" w:hAnsi="Times New Roman"/>
          <w:sz w:val="20"/>
          <w:u w:val="single"/>
        </w:rPr>
        <w:t>Section 2.4(ii)</w:t>
      </w:r>
      <w:r>
        <w:rPr>
          <w:rFonts w:ascii="Times New Roman" w:hAnsi="Times New Roman"/>
          <w:sz w:val="20"/>
        </w:rPr>
        <w:t xml:space="preserve">, provided, however, that the disclosures described in this </w:t>
      </w:r>
      <w:r>
        <w:rPr>
          <w:rFonts w:ascii="Times New Roman" w:hAnsi="Times New Roman"/>
          <w:sz w:val="20"/>
          <w:u w:val="single"/>
        </w:rPr>
        <w:t>Section 2.4(iii)</w:t>
      </w:r>
      <w:r>
        <w:rPr>
          <w:rFonts w:ascii="Times New Roman" w:hAnsi="Times New Roman"/>
          <w:sz w:val="20"/>
        </w:rPr>
        <w:t xml:space="preserve"> shall not include any such disclosures with respect to ordinary course business activities of any Exempt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description of any agreement, arrangement or understanding, written or oral and formal or informal, between or among (1) the stockholder giving the notice, any nominee and any of the Stockholder Associated Persons or (2) the stockholder giving the notice, any nominee or any of the Stockholder Associated Persons and any other person or entity (naming each such person or entity) with respect to the nomination or proposal, including (x) any proxy, contract, arrangement, understanding or relationship pursuant to which the stockholder giving the notice or the Stockholder Associated Person has the right to vote any shares of any security of the corporation, (y) any understanding, formal or informal, written or oral, that the stockholder giving the notice, any nominee or any of the Stockholder Associated Persons may have reached with any stockholder of the corporation (including their names) with respect to how such stockholder will vote its shares in the corporation at any meeting of the corporation’s stockholders or take other action in financial support of or related to any business proposed or any nominee, or other action to be taken, by the stockholder giving the notice or any of the Stockholder Associated Persons, and (z) any other agreements that would be required to be disclosed by the stockholder giving the notice, nominee or any Stockholder Associated Person or any other person or entity pursuant to Item 5 or Item 6 of a Schedule 13D that would be filed pursuant to the 1934 Act and the rules and regulations promulgated thereunder (regardless of whether the requirement to file a Schedule 13D is applicable to the stockholder giving the notice, nominee or any Stockholder Associated Person or other person or entity); </w:t>
      </w:r>
    </w:p>
    <w:p>
      <w:pPr>
        <w:pStyle w:val="TextBody"/>
        <w:bidi w:val="0"/>
        <w:spacing w:before="120" w:after="0"/>
        <w:jc w:val="left"/>
        <w:rPr>
          <w:rFonts w:ascii="Times New Roman" w:hAnsi="Times New Roman"/>
          <w:sz w:val="20"/>
        </w:rPr>
      </w:pPr>
      <w:r>
        <w:rPr>
          <w:rFonts w:ascii="Times New Roman" w:hAnsi="Times New Roman"/>
          <w:sz w:val="20"/>
        </w:rPr>
        <w:t>(b) a description of all (1) agreements, arrangements or understandings, written or oral (including any derivative or short positions, profit interests, hedging transactions, forwards, futures, swaps, options, warrants, convertible securities, stock appreciation rights or similar rights, repurchase agreements or arrangements, borrowed or loaned shares and so-called “stock borrowing” agreements or arrangements) that have been entered into by, or on behalf of, such stockholder or any Stockholder Associated Person, the effect or intent of which is to mitigate loss, manage risk or benefit from changes in the price of any Company Securities, or maintain, increase or decrease the voting power of such stockholder or any Stockholder Associated Person with respect to Company Securities, whether or not such instrument or right shall be subject to settlement in underlying shares of capital stock of the corporation (any of the foregoing, a “</w:t>
      </w:r>
      <w:r>
        <w:rPr>
          <w:rFonts w:ascii="Times New Roman" w:hAnsi="Times New Roman"/>
          <w:b/>
          <w:sz w:val="20"/>
        </w:rPr>
        <w:t>Derivative Instrument</w:t>
      </w:r>
      <w:r>
        <w:rPr>
          <w:rFonts w:ascii="Times New Roman" w:hAnsi="Times New Roman"/>
          <w:sz w:val="20"/>
        </w:rPr>
        <w:t xml:space="preserve">”) and (2) other information about such Derivative Instruments that would be required to be disclosed in a proxy statement in connection with the solicitation of proxies by such stockholder or any Stockholder Associated Person for the election of any nominee in an election contest, pursuant to and in accordance with Section 14(a) of the 1934 Act and the rules and regulations promulgated thereunder, if the creation, termination or modification of Derivative Instruments were treated the same as trading in the securities of the corporation under the requirements; </w:t>
      </w:r>
    </w:p>
    <w:p>
      <w:pPr>
        <w:pStyle w:val="TextBody"/>
        <w:bidi w:val="0"/>
        <w:spacing w:before="120" w:after="0"/>
        <w:jc w:val="left"/>
        <w:rPr>
          <w:rFonts w:ascii="Times New Roman" w:hAnsi="Times New Roman"/>
          <w:sz w:val="20"/>
        </w:rPr>
      </w:pPr>
      <w:r>
        <w:rPr>
          <w:rFonts w:ascii="Times New Roman" w:hAnsi="Times New Roman"/>
          <w:sz w:val="20"/>
        </w:rPr>
        <w:t xml:space="preserve">(c) any rights to dividends on the shares of the corporation owned beneficially by such stockholder, nominee or Stockholder Associated Person that are separated or separable from the underlying shares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proportionate interest in shares of capital stock of the corporation or Derivative Instruments held, directly or indirectly, by a general or limited partnership or similar entity in which such stockholder, nominee or Stockholder Associated Person (1) is a general partner, or directly or indirectly, beneficially owns an interest in a general partner or (2) is the manager, managing member or directly or indirectly beneficially owns an interest in the manager or managing member of a limited liability company or similar entity; </w:t>
      </w:r>
    </w:p>
    <w:p>
      <w:pPr>
        <w:pStyle w:val="TextBody"/>
        <w:bidi w:val="0"/>
        <w:spacing w:before="120" w:after="0"/>
        <w:jc w:val="left"/>
        <w:rPr>
          <w:rFonts w:ascii="Times New Roman" w:hAnsi="Times New Roman"/>
          <w:sz w:val="20"/>
        </w:rPr>
      </w:pPr>
      <w:r>
        <w:rPr>
          <w:rFonts w:ascii="Times New Roman" w:hAnsi="Times New Roman"/>
          <w:sz w:val="20"/>
        </w:rPr>
        <w:t xml:space="preserve">(e) any significant equity interests or any Derivative Instruments in any competitor of the corporation described in Part I, Item 1 of the annual report on Form 10-K or amendment thereto most recently filed by the corporation with the SEC or in Item 8.01 of any current report on Form 8-K filed by the corporation with the SEC thereafter but prior to the tenth day before the deadline for a stockholder’s notice under this </w:t>
      </w:r>
      <w:r>
        <w:rPr>
          <w:rFonts w:ascii="Times New Roman" w:hAnsi="Times New Roman"/>
          <w:sz w:val="20"/>
          <w:u w:val="single"/>
        </w:rPr>
        <w:t>Section 2.4</w:t>
      </w:r>
      <w:r>
        <w:rPr>
          <w:rFonts w:ascii="Times New Roman" w:hAnsi="Times New Roman"/>
          <w:sz w:val="20"/>
        </w:rPr>
        <w:t xml:space="preserve"> (each, a “</w:t>
      </w:r>
      <w:r>
        <w:rPr>
          <w:rFonts w:ascii="Times New Roman" w:hAnsi="Times New Roman"/>
          <w:b/>
          <w:sz w:val="20"/>
        </w:rPr>
        <w:t>Principal Competitor</w:t>
      </w:r>
      <w:r>
        <w:rPr>
          <w:rFonts w:ascii="Times New Roman" w:hAnsi="Times New Roman"/>
          <w:sz w:val="20"/>
        </w:rPr>
        <w:t xml:space="preserve">”) held, directly or indirectly, by such stockholder, nominee or Stockholder Associated Person; </w:t>
      </w:r>
    </w:p>
    <w:p>
      <w:pPr>
        <w:pStyle w:val="TextBody"/>
        <w:bidi w:val="0"/>
        <w:spacing w:before="120" w:after="0"/>
        <w:jc w:val="left"/>
        <w:rPr>
          <w:rFonts w:ascii="Times New Roman" w:hAnsi="Times New Roman"/>
          <w:sz w:val="20"/>
        </w:rPr>
      </w:pPr>
      <w:r>
        <w:rPr>
          <w:rFonts w:ascii="Times New Roman" w:hAnsi="Times New Roman"/>
          <w:sz w:val="20"/>
        </w:rPr>
        <w:t xml:space="preserve">(f) any direct or indirect interest (other than solely as a result of securities ownership) of such stockholder (or, to the knowledge of such stockholder, of the beneficial owner(s) on whose behalf such stockholder is submitting a notice to the corporation), nominee or Stockholder Associated Person in any contract with the corporation or any Affiliate thereof, or any Principal Competitor (including, in any such case, any employment agreement, collective bargaining agreement or consulting agreement); </w:t>
      </w:r>
    </w:p>
    <w:p>
      <w:pPr>
        <w:pStyle w:val="TextBody"/>
        <w:bidi w:val="0"/>
        <w:spacing w:before="120" w:after="0"/>
        <w:jc w:val="left"/>
        <w:rPr>
          <w:rFonts w:ascii="Times New Roman" w:hAnsi="Times New Roman"/>
          <w:sz w:val="20"/>
        </w:rPr>
      </w:pPr>
      <w:r>
        <w:rPr>
          <w:rFonts w:ascii="Times New Roman" w:hAnsi="Times New Roman"/>
          <w:sz w:val="20"/>
        </w:rPr>
        <w:t xml:space="preserve">(g) any substantial interest, direct or indirect (including any existing or prospective commercial, business or contractual relationship with the corporation), of such stockholder (or the beneficial owner(s) on whose behalf such stockholder is submitting a notice to the corporation), any Stockholder Associated Person or any Affiliate thereof, in the corporation or in the proposed business or nomination to be brought before the meeting by such stockholder, other than an interest arising from the ownership of Company Securities where such stockholder, nominee, Stockholder Associated Person or Affiliate receives no extra or special benefit not shared on a </w:t>
      </w:r>
      <w:r>
        <w:rPr>
          <w:rFonts w:ascii="Times New Roman" w:hAnsi="Times New Roman"/>
          <w:i/>
          <w:sz w:val="20"/>
        </w:rPr>
        <w:t>pro rata</w:t>
      </w:r>
      <w:r>
        <w:rPr>
          <w:rFonts w:ascii="Times New Roman" w:hAnsi="Times New Roman"/>
          <w:sz w:val="20"/>
        </w:rPr>
        <w:t xml:space="preserve"> basis with all other holders of the same class or series; </w:t>
      </w:r>
    </w:p>
    <w:p>
      <w:pPr>
        <w:pStyle w:val="TextBody"/>
        <w:bidi w:val="0"/>
        <w:spacing w:before="120" w:after="0"/>
        <w:jc w:val="left"/>
        <w:rPr>
          <w:rFonts w:ascii="Times New Roman" w:hAnsi="Times New Roman"/>
          <w:sz w:val="20"/>
        </w:rPr>
      </w:pPr>
      <w:r>
        <w:rPr>
          <w:rFonts w:ascii="Times New Roman" w:hAnsi="Times New Roman"/>
          <w:sz w:val="20"/>
        </w:rPr>
        <w:t xml:space="preserve">(h) a description of any pending or, to the knowledge of such stockholder (or the beneficial owner(s) on whose behalf such stockholder is submitting a notice to the corporation), threatened legal proceeding or investigation to which such stockholder or any Stockholder Associated Person is a party or participant directly involving or directly relating to the corporation or, to such stockholder’s knowledge, any current or former officer, director or Affiliate of the corporation;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Advance Notice of Director Nominations for Special Meetings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Only such business shall be conducted at a special meeting of stockholders as shall have been brought before the meeting pursuant to the corporation’s notice of meeting. For a special meeting of stockholders at which directors are to be elected or re- elected, nominations of persons for election or re-election to the board of directors shall be made only (1) by or at the direction of the board of directors or (2) provided that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directors has determined that directors shall be elected at such meeting, by any stockholder of the corporation who (A) is a stockholder of record at the time of the giving of the notice required by this </w:t>
      </w:r>
      <w:r>
        <w:rPr>
          <w:rFonts w:ascii="Times New Roman" w:hAnsi="Times New Roman"/>
          <w:sz w:val="20"/>
          <w:u w:val="single"/>
        </w:rPr>
        <w:t>Section 2.4(iv)</w:t>
      </w:r>
      <w:r>
        <w:rPr>
          <w:rFonts w:ascii="Times New Roman" w:hAnsi="Times New Roman"/>
          <w:sz w:val="20"/>
        </w:rPr>
        <w:t xml:space="preserve">, on the record date for the determination of stockholders entitled to vote at the special meeting and at the time of the special meeting (including any postponement or adjournment thereof) and (B) delivers a timely written notice of the nomination to the secretary of the corporation that includes the information set forth in </w:t>
      </w:r>
      <w:r>
        <w:rPr>
          <w:rFonts w:ascii="Times New Roman" w:hAnsi="Times New Roman"/>
          <w:sz w:val="20"/>
          <w:u w:val="single"/>
        </w:rPr>
        <w:t>Sections 2.4(ii)</w:t>
      </w:r>
      <w:r>
        <w:rPr>
          <w:rFonts w:ascii="Times New Roman" w:hAnsi="Times New Roman"/>
          <w:sz w:val="20"/>
        </w:rPr>
        <w:t xml:space="preserve"> and </w:t>
      </w:r>
      <w:r>
        <w:rPr>
          <w:rFonts w:ascii="Times New Roman" w:hAnsi="Times New Roman"/>
          <w:sz w:val="20"/>
          <w:u w:val="single"/>
        </w:rPr>
        <w:t>2.4(iii)</w:t>
      </w:r>
      <w:r>
        <w:rPr>
          <w:rFonts w:ascii="Times New Roman" w:hAnsi="Times New Roman"/>
          <w:sz w:val="20"/>
        </w:rPr>
        <w:t xml:space="preserve">. To be timely, such notice must be received by the secretary during business hours at the principal executive offices of the corporation not later than 5:00 p.m. Pacific Time on the later of the 90th day prior to such special meeting or the tenth day following the day on which Public Announcement is first made of the date of the special meeting and of the nominees proposed by the board of directors to be elected or re-elected at such meeting. A person shall not be eligible for election or re-election as a director at a special meeting unless the person is nominated (x) by or at the direction of the board of directors or (y) by a stockholder in accordance with the notice procedures set forth in this </w:t>
      </w:r>
      <w:r>
        <w:rPr>
          <w:rFonts w:ascii="Times New Roman" w:hAnsi="Times New Roman"/>
          <w:sz w:val="20"/>
          <w:u w:val="single"/>
        </w:rPr>
        <w:t>Section 2.4(iv)</w:t>
      </w:r>
      <w:r>
        <w:rPr>
          <w:rFonts w:ascii="Times New Roman" w:hAnsi="Times New Roman"/>
          <w:sz w:val="20"/>
        </w:rPr>
        <w:t xml:space="preserve">.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 notwithstanding that proxies with respect to such vote may have been received by the corporation. </w:t>
      </w:r>
    </w:p>
    <w:p>
      <w:pPr>
        <w:pStyle w:val="TextBody"/>
        <w:bidi w:val="0"/>
        <w:spacing w:before="120" w:after="0"/>
        <w:jc w:val="left"/>
        <w:rPr>
          <w:rFonts w:ascii="Times New Roman" w:hAnsi="Times New Roman"/>
          <w:i/>
          <w:sz w:val="20"/>
        </w:rPr>
      </w:pPr>
      <w:r>
        <w:rPr>
          <w:rFonts w:ascii="Times New Roman" w:hAnsi="Times New Roman"/>
          <w:i/>
          <w:sz w:val="20"/>
        </w:rPr>
        <w:t xml:space="preserve">(v) General.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expressly provided in any applicable rule or regulation promulgated under the 1934 Act, only such persons who are nominated in accordance with the procedures set forth in this </w:t>
      </w:r>
      <w:r>
        <w:rPr>
          <w:rFonts w:ascii="Times New Roman" w:hAnsi="Times New Roman"/>
          <w:sz w:val="20"/>
          <w:u w:val="single"/>
        </w:rPr>
        <w:t>Section 2.4</w:t>
      </w:r>
      <w:r>
        <w:rPr>
          <w:rFonts w:ascii="Times New Roman" w:hAnsi="Times New Roman"/>
          <w:sz w:val="20"/>
        </w:rPr>
        <w:t xml:space="preserve"> shall be eligible to be elected at an annual or special meeting of stockholders of the corporation to serve as directors and only such business shall be conducted at a meeting of stockholders as shall have been brought before the meeting in accordance with the applicable procedures set forth in this </w:t>
      </w:r>
      <w:r>
        <w:rPr>
          <w:rFonts w:ascii="Times New Roman" w:hAnsi="Times New Roman"/>
          <w:sz w:val="20"/>
          <w:u w:val="single"/>
        </w:rPr>
        <w:t>Section 2.4</w:t>
      </w:r>
      <w:r>
        <w:rPr>
          <w:rFonts w:ascii="Times New Roman" w:hAnsi="Times New Roman"/>
          <w:sz w:val="20"/>
        </w:rPr>
        <w:t xml:space="preserve">. The number of nominees a stockholder may nominate for election at a meeting may not exceed the number of directors to be elected at such meeting. Except as otherwise provided by law, the board of directors or the chairperson of the meeting shall have the power and duty (1) to determine whether a nomination or any business proposed to be brought before the meeting was made or proposed, as the case may be, in accordance with the procedures set forth in this </w:t>
      </w:r>
      <w:r>
        <w:rPr>
          <w:rFonts w:ascii="Times New Roman" w:hAnsi="Times New Roman"/>
          <w:sz w:val="20"/>
          <w:u w:val="single"/>
        </w:rPr>
        <w:t>Section 2.4</w:t>
      </w:r>
      <w:r>
        <w:rPr>
          <w:rFonts w:ascii="Times New Roman" w:hAnsi="Times New Roman"/>
          <w:sz w:val="20"/>
        </w:rPr>
        <w:t xml:space="preserve"> (including whether the stockholder or Stockholder Associated Person solicited (or is part of a group that solicited) or did not so solicit, as the case may be, proxies or votes in support of such stockholder’s nominee or proposal in compliance with such stockholder’s representation as required by </w:t>
      </w:r>
      <w:r>
        <w:rPr>
          <w:rFonts w:ascii="Times New Roman" w:hAnsi="Times New Roman"/>
          <w:sz w:val="20"/>
          <w:u w:val="single"/>
        </w:rPr>
        <w:t>Section 2.4(iii)</w:t>
      </w:r>
      <w:r>
        <w:rPr>
          <w:rFonts w:ascii="Times New Roman" w:hAnsi="Times New Roman"/>
          <w:sz w:val="20"/>
        </w:rPr>
        <w:t xml:space="preserve">) and (2) if any proposed nomination or business was not made or proposed in compliance with this </w:t>
      </w:r>
      <w:r>
        <w:rPr>
          <w:rFonts w:ascii="Times New Roman" w:hAnsi="Times New Roman"/>
          <w:sz w:val="20"/>
          <w:u w:val="single"/>
        </w:rPr>
        <w:t>Section 2.4</w:t>
      </w:r>
      <w:r>
        <w:rPr>
          <w:rFonts w:ascii="Times New Roman" w:hAnsi="Times New Roman"/>
          <w:sz w:val="20"/>
        </w:rPr>
        <w:t xml:space="preserve">, to declare that such nomination shall be disregarded or that such proposed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not be transacted. Notwithstanding the foregoing provisions of this </w:t>
      </w:r>
      <w:r>
        <w:rPr>
          <w:rFonts w:ascii="Times New Roman" w:hAnsi="Times New Roman"/>
          <w:sz w:val="20"/>
          <w:u w:val="single"/>
        </w:rPr>
        <w:t>Section 2.4</w:t>
      </w:r>
      <w:r>
        <w:rPr>
          <w:rFonts w:ascii="Times New Roman" w:hAnsi="Times New Roman"/>
          <w:sz w:val="20"/>
        </w:rPr>
        <w:t xml:space="preserve">,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w:t>
      </w:r>
      <w:r>
        <w:rPr>
          <w:rFonts w:ascii="Times New Roman" w:hAnsi="Times New Roman"/>
          <w:sz w:val="20"/>
          <w:u w:val="single"/>
        </w:rPr>
        <w:t>Section 2.4(v)</w:t>
      </w:r>
      <w:r>
        <w:rPr>
          <w:rFonts w:ascii="Times New Roman" w:hAnsi="Times New Roman"/>
          <w:sz w:val="20"/>
        </w:rPr>
        <w:t xml:space="preserv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(b) A stockholder providing notice under this </w:t>
      </w:r>
      <w:r>
        <w:rPr>
          <w:rFonts w:ascii="Times New Roman" w:hAnsi="Times New Roman"/>
          <w:sz w:val="20"/>
          <w:u w:val="single"/>
        </w:rPr>
        <w:t>Section 2.4</w:t>
      </w:r>
      <w:r>
        <w:rPr>
          <w:rFonts w:ascii="Times New Roman" w:hAnsi="Times New Roman"/>
          <w:sz w:val="20"/>
        </w:rPr>
        <w:t xml:space="preserve"> shall update such notice, if necessary, so that the information provided or required to be provided in such notice shall continue to be true and correct in all material respects (1) as of the record date for the meeting and (2) as of the date that is 10 business days prior to the meeting (or any postponement or adjournment thereof), and such update shall be delivered to, or mailed and received by, the secretary at the principal executive office of the corporation not later than five business days after the record date for the meeting (in the case of an update required to be made as of the record date) and not later than seven business days prior to the date for the meeting (in the case of an update required to be made as of 10 business days prior to the meeting or any adjournment or postponement thereof). </w:t>
      </w:r>
    </w:p>
    <w:p>
      <w:pPr>
        <w:pStyle w:val="TextBody"/>
        <w:bidi w:val="0"/>
        <w:spacing w:before="120" w:after="0"/>
        <w:jc w:val="left"/>
        <w:rPr>
          <w:rFonts w:ascii="Times New Roman" w:hAnsi="Times New Roman"/>
          <w:sz w:val="20"/>
        </w:rPr>
      </w:pPr>
      <w:r>
        <w:rPr>
          <w:rFonts w:ascii="Times New Roman" w:hAnsi="Times New Roman"/>
          <w:sz w:val="20"/>
        </w:rPr>
        <w:t xml:space="preserve">(c) If information submitted pursuant to this </w:t>
      </w:r>
      <w:r>
        <w:rPr>
          <w:rFonts w:ascii="Times New Roman" w:hAnsi="Times New Roman"/>
          <w:sz w:val="20"/>
          <w:u w:val="single"/>
        </w:rPr>
        <w:t>Section 2.4</w:t>
      </w:r>
      <w:r>
        <w:rPr>
          <w:rFonts w:ascii="Times New Roman" w:hAnsi="Times New Roman"/>
          <w:sz w:val="20"/>
        </w:rPr>
        <w:t xml:space="preserve"> by any stockholder proposing a nominee for election as a director or any proposal for other business at a meeting of stockholders shall be inaccurate in any respect, such information may be deemed not to have been properly provided in accordance with this </w:t>
      </w:r>
      <w:r>
        <w:rPr>
          <w:rFonts w:ascii="Times New Roman" w:hAnsi="Times New Roman"/>
          <w:sz w:val="20"/>
          <w:u w:val="single"/>
        </w:rPr>
        <w:t>Section 2.4</w:t>
      </w:r>
      <w:r>
        <w:rPr>
          <w:rFonts w:ascii="Times New Roman" w:hAnsi="Times New Roman"/>
          <w:sz w:val="20"/>
        </w:rPr>
        <w:t xml:space="preserve">. Any such stockholder shall notify the corporation of any material inaccuracy or change in any such information within two business days of becoming aware of such material inaccuracy or change. Upon written request by the secretary or the board or directors, any such stockholder shall provide, within five business days of delivery of such request (or such other period as may be specified in such request), (1) written verification, reasonably satisfactory to the board of directors or any authorized officer, to demonstrate the accuracy of any information submitted by the stockholder pursuant to this </w:t>
      </w:r>
      <w:r>
        <w:rPr>
          <w:rFonts w:ascii="Times New Roman" w:hAnsi="Times New Roman"/>
          <w:sz w:val="20"/>
          <w:u w:val="single"/>
        </w:rPr>
        <w:t>Section 2.4</w:t>
      </w:r>
      <w:r>
        <w:rPr>
          <w:rFonts w:ascii="Times New Roman" w:hAnsi="Times New Roman"/>
          <w:sz w:val="20"/>
        </w:rPr>
        <w:t xml:space="preserve">, and (2) a written update of any information (including, if requested by the corporation, written confirmation by such stockholder that such stockholder continues to intend to bring such nomination or other business proposal before the meeting) submitted by the stockholder pursuant to this </w:t>
      </w:r>
      <w:r>
        <w:rPr>
          <w:rFonts w:ascii="Times New Roman" w:hAnsi="Times New Roman"/>
          <w:sz w:val="20"/>
          <w:u w:val="single"/>
        </w:rPr>
        <w:t>Section 2.4</w:t>
      </w:r>
      <w:r>
        <w:rPr>
          <w:rFonts w:ascii="Times New Roman" w:hAnsi="Times New Roman"/>
          <w:sz w:val="20"/>
        </w:rPr>
        <w:t xml:space="preserve"> as of an earlier date. If a stockholder fails to provide such written verification or written update within such period, the information as to which written verification or a written update was requested shall be deemed not to have been provided in accordance with this </w:t>
      </w:r>
      <w:r>
        <w:rPr>
          <w:rFonts w:ascii="Times New Roman" w:hAnsi="Times New Roman"/>
          <w:sz w:val="20"/>
          <w:u w:val="single"/>
        </w:rPr>
        <w:t>Section 2.4</w:t>
      </w:r>
      <w:r>
        <w:rPr>
          <w:rFonts w:ascii="Times New Roman" w:hAnsi="Times New Roman"/>
          <w:sz w:val="20"/>
        </w:rPr>
        <w:t xml:space="preserve">. Without limiting the other provisions and requirements of this </w:t>
      </w:r>
      <w:r>
        <w:rPr>
          <w:rFonts w:ascii="Times New Roman" w:hAnsi="Times New Roman"/>
          <w:sz w:val="20"/>
          <w:u w:val="single"/>
        </w:rPr>
        <w:t>Section 2.4</w:t>
      </w:r>
      <w:r>
        <w:rPr>
          <w:rFonts w:ascii="Times New Roman" w:hAnsi="Times New Roman"/>
          <w:sz w:val="20"/>
        </w:rPr>
        <w:t xml:space="preserve">, unless otherwise required by law, if any stockholder or any Stockholder Associated Person (i) provides notice pursuant to Rule 14a-19(b) promulgated under the 1934 Act with respect to any nominee(s) and (ii) (1) such stockholder or Stockholder Associated Person subsequently either (x) notifies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that such stockholder or Stockholder Associated Person no longer intends to solicit proxies in support of the election or re-election of such nominee(s) in accordance with Rule 14-19(b) promulgated under the 1934 Act or (y) fails to comply with the requirements of Rule 14a-19(a)(2) and Rule 14a-19(a)(3) promulgated under the 1934 Act (or fails to timely provide reasonable evidence sufficient to satisfy the corporation that such stockholder or Stockholder Associated Person has met the requirements of Rule 14a-19(a)(3) promulgated under the 1934 Act in accordance with the following sentence) and (2) no other stockholder or Stockholder Associated Person that has provided notice pursuant to Rule 14a-19(a)(3) promulgated under the 1934 Act with respect to such nominee(s) (x) to the corporation’s knowledge based on information provided pursuant to Rule 14a-19 promulgated under the 1934 Act or these bylaws, still intends to solicit proxies in support of the election or re-election of such nominee(s) in accordance with Rule 14a-19(b) promulgated under the 1934 Act and (y) has complied with the requirements of Rule 14a-19(a)(2) and Rule 14a-19(a)(3) promulgated under the 1934 Act and the requirements set forth in the following sentence, then the corporation shall disregard any proxies or votes solicited for such stockholder’s nominee(s) regardless of the person or entity who solicited such proxies and no vote on the election of such nominee(s) shall occur (notwithstanding that proxies may have been received by the corporation). Upon request by the corporation, if any stockholder provides notice pursuant to Rule 14a-19(b) promulgated under the 1934 Act, such stockholder shall deliver to the corporation, no later than 5 business days prior to the applicable meeting, reasonable evidence that it has met the requirements of Rule 14a-19(a)(3) promulgated under the 1934 Act.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Other Requirements and Rights</w:t>
      </w:r>
      <w:r>
        <w:rPr>
          <w:rFonts w:ascii="Times New Roman" w:hAnsi="Times New Roman"/>
          <w:sz w:val="20"/>
        </w:rPr>
        <w:t xml:space="preserve">. In addition to the foregoing provisions of this </w:t>
      </w:r>
      <w:r>
        <w:rPr>
          <w:rFonts w:ascii="Times New Roman" w:hAnsi="Times New Roman"/>
          <w:sz w:val="20"/>
          <w:u w:val="single"/>
        </w:rPr>
        <w:t>Section 2.4</w:t>
      </w:r>
      <w:r>
        <w:rPr>
          <w:rFonts w:ascii="Times New Roman" w:hAnsi="Times New Roman"/>
          <w:sz w:val="20"/>
        </w:rPr>
        <w:t xml:space="preserve">, a stockholder must also comply with all applicable requirements of state law and of the 1934 Act and the rules and regulations thereunder with respect to the matters set forth in this </w:t>
      </w:r>
      <w:r>
        <w:rPr>
          <w:rFonts w:ascii="Times New Roman" w:hAnsi="Times New Roman"/>
          <w:sz w:val="20"/>
          <w:u w:val="single"/>
        </w:rPr>
        <w:t>Section 2.4</w:t>
      </w:r>
      <w:r>
        <w:rPr>
          <w:rFonts w:ascii="Times New Roman" w:hAnsi="Times New Roman"/>
          <w:sz w:val="20"/>
        </w:rPr>
        <w:t xml:space="preserve">. Nothing in this </w:t>
      </w:r>
      <w:r>
        <w:rPr>
          <w:rFonts w:ascii="Times New Roman" w:hAnsi="Times New Roman"/>
          <w:sz w:val="20"/>
          <w:u w:val="single"/>
        </w:rPr>
        <w:t>Section 2.4</w:t>
      </w:r>
      <w:r>
        <w:rPr>
          <w:rFonts w:ascii="Times New Roman" w:hAnsi="Times New Roman"/>
          <w:sz w:val="20"/>
        </w:rPr>
        <w:t xml:space="preserve"> shall be deemed to affect any rights of: </w:t>
      </w:r>
    </w:p>
    <w:p>
      <w:pPr>
        <w:pStyle w:val="TextBody"/>
        <w:bidi w:val="0"/>
        <w:spacing w:before="120" w:after="0"/>
        <w:jc w:val="left"/>
        <w:rPr>
          <w:rFonts w:ascii="Times New Roman" w:hAnsi="Times New Roman"/>
          <w:sz w:val="20"/>
        </w:rPr>
      </w:pPr>
      <w:r>
        <w:rPr>
          <w:rFonts w:ascii="Times New Roman" w:hAnsi="Times New Roman"/>
          <w:sz w:val="20"/>
        </w:rPr>
        <w:t xml:space="preserve">(a) a stockholder to request inclusion of proposals in the corporation’s proxy statement pursuant to Rule 14a- 8 (or any successor provision) under the 1934 Act; or </w:t>
      </w:r>
    </w:p>
    <w:p>
      <w:pPr>
        <w:pStyle w:val="TextBody"/>
        <w:bidi w:val="0"/>
        <w:spacing w:before="120" w:after="0"/>
        <w:jc w:val="left"/>
        <w:rPr>
          <w:rFonts w:ascii="Times New Roman" w:hAnsi="Times New Roman"/>
          <w:sz w:val="20"/>
        </w:rPr>
      </w:pPr>
      <w:r>
        <w:rPr>
          <w:rFonts w:ascii="Times New Roman" w:hAnsi="Times New Roman"/>
          <w:sz w:val="20"/>
        </w:rPr>
        <w:t xml:space="preserve">(b) the corporation to omit a proposal from the corporation’s proxy statement pursuant to Rule 14a-8 (or any successor provision) under the 1934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STOCKHOLDERS’ MEETINGS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Whenever stockholders are required or permitted to take any action at a meeting, a written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QUORUM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corporation’s securities are listed.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ADJOURNMENTS AND POSTPONEMENTS; NOTICE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meeting of stockholders may be adjourned by the chairperson of the meeting or by the board of directors from time to time for any reason, even if a quorum is present, to reconvene at any other time and any place at which a meeting of stockholders may be held under these bylaws (including an adjournment taken to address a technical failure to convene or continue a meeting using remote communication). 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corporation may transact any business which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If a quorum was present at the original meeting, it shall also be deemed present at an adjourned session of such meeting, unless a new record date is, or is required to be, set for the adjourned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w:t>
      </w:r>
      <w:r>
        <w:rPr>
          <w:rFonts w:ascii="Times New Roman" w:hAnsi="Times New Roman"/>
          <w:sz w:val="20"/>
          <w:u w:val="single"/>
        </w:rPr>
        <w:t>Section 2.11</w:t>
      </w:r>
      <w:r>
        <w:rPr>
          <w:rFonts w:ascii="Times New Roman" w:hAnsi="Times New Roman"/>
          <w:sz w:val="20"/>
        </w:rPr>
        <w:t xml:space="preserve"> of these bylaws, and shall give notice of the adjourned meeting to each stockholder of record entitled to vote at such adjourned meeting as of the record date fixed for notice of such adjourned meeting. The board of directors may, at any time prior to the holding of a meeting of stockholders and for any reasonable reason, postpone or cancel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OF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adopt by resolution such rules, regulations and procedures for the conduct of any meeting of stockholders as it shall deem appropriate. Except to the extent inconsistent with such rules, regulations and procedures as adopted by the board of directors, the chairperson of any meeting of stockholders shall have the right and authority to convene and (for any or no reason) to recess or adjourn the meeting, to prescribe rules, regulations and procedures for stockholder meetings and take all such acts as, in the judgement of such chairperson of the meeting, are appropriate for the proper conduct of the meeting. Such rules, regulations and procedures may include, without limitation, (a) the establishment of an agenda or order of business for the meeting, (b) rules, regulations and procedures for maintaining order at the meeting and the safety of those present, (c) limitations on attendance at or participation in such meeting to stockholders entitled to vote at the meeting, their duly authorized and constituted proxies and such other persons as the chairperson of the meeting shall permit, (d) restrictions on entry to the meeting after the time fixed for the commencement thereof, (e) limitations on the time allotted to questions or comments by participants, (f) determination of when the polls should remain open and when they should close, (g) removal of any individual who refuses to comply with procedures, rules and guidelines established by the chairperson of the meeting, (h) restrictions on the use of audio/video recording devices, cell phones and other electronic devices, (i) rules, regulations or procedures for compliance with any state or local laws or regulations including those concerning safety, health and security, (j) procedures (if any) requiring attendees to provide the corporation advance notice of their intent to attend the meeting and (k) any rules, regulations or procedures as the chairperson of the meeting may deem appropriate regarding the participation by means of remote communication. The board of directors or the chairperson of a stockholder meeting, in addition to making any other determinations that may be appropriate regarding the conduct of the meeting, shall determine and declare to the meeting that a matter of business was not properly brought before the meeting, and, if the chairperson of the meeting (or the board of directors) should so determine, the chairperson of the meeting (or the board of directors) shall so declare to the meeting and any such matter of business not properly brought before the meeting shall not be transacted or considered. Unless and to the extent determined by the board of directors or the chairperson of the meeting, meetings of stockholders shall not be required to be held in accordance with rules of parliamentary procedure. The chairperson of any meeting of stockholders shall be designated by the board of directors; in the absence of such designation, the chairperson of the board of directors, the chief executive officer (in the absence of the chairperson of the board of directors), or the president (in the absence of the chief executive officer) shall serve as the chairperson of the stockholder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stockholders entitled to vote at any meeting of stockholders shall be determined in accordance with the provisions of </w:t>
      </w:r>
      <w:r>
        <w:rPr>
          <w:rFonts w:ascii="Times New Roman" w:hAnsi="Times New Roman"/>
          <w:sz w:val="20"/>
          <w:u w:val="single"/>
        </w:rPr>
        <w:t>Section 2.11</w:t>
      </w:r>
      <w:r>
        <w:rPr>
          <w:rFonts w:ascii="Times New Roman" w:hAnsi="Times New Roman"/>
          <w:sz w:val="20"/>
        </w:rPr>
        <w:t xml:space="preserve"> of these bylaws, subject to Section 217 (relating to voting rights of fiduciaries, pledgors and joint owners of stock) and Section 218 (relating to voting trusts and other voting agreements) of the DGCL.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otherwise provided in the certificate of incorporation or these bylaws, each stockholder shall be entitled to one vote for each share of capital stock held by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provided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the vote of the majority of the votes cast (meaning the number of shares voted “for” a nominee must exceed the number of shares voted “against” such nominee), with “abstentions” and “broker non-votes” not counted as a vote cast either “for” or “against” that nominee’s election, at any meeting for the election of directors at which a quorum is present;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annual or special meeting of the corporation with respect to which the secretary of the corporation receives a notice that a stockholder has nominated or intends to nominate a person for election to the board of directors in compliance with the requirements for stockholder nominees for director set forth in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2.15</w:t>
      </w:r>
      <w:r>
        <w:rPr>
          <w:rFonts w:ascii="Times New Roman" w:hAnsi="Times New Roman"/>
          <w:sz w:val="20"/>
        </w:rPr>
        <w:t xml:space="preserve"> of these bylaws, directors shall be elected by a plurality of the votes cast on the election of directors. Stockholders shall be entitled to cast votes “against” nominees for director unless plurality voting applies in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or these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2.10</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STOCKHOLDER ACTION BY WRITTEN CONSENT WITHOUT A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the shares of any series of Preferred Stock or any other class of stock or series thereof that have been expressly granted the right to take action by written consent, any action required or permitted to be taken by the stockholders of the corporation must be effected at a duly called annual or special meeting of stockholders of the corporation and may not be effected by any consent in writing by such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2.11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RECORD DATES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determination of stockholders of record entitled to notice of or to vote at a meeting of stockholders shall apply to any adjournment of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w:t>
      </w:r>
      <w:r>
        <w:rPr>
          <w:rFonts w:ascii="Times New Roman" w:hAnsi="Times New Roman"/>
          <w:sz w:val="20"/>
          <w:u w:val="single"/>
        </w:rPr>
        <w:t>Section 2.11</w:t>
      </w:r>
      <w:r>
        <w:rPr>
          <w:rFonts w:ascii="Times New Roman" w:hAnsi="Times New Roman"/>
          <w:sz w:val="20"/>
        </w:rPr>
        <w:t xml:space="preserve">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2.12</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corporation to determine the identity of the stockholder granting such authorization. The revocability of a proxy that states on its face that it is irrevocable shall be governed by the provisions of Section 212 of the DGCL. Any stockholder directly or indirectly soliciting proxies from other stockholders may use any proxy card color other than white, which shall be reserved for exclusive use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
        <w:gridCol w:w="9746"/>
      </w:tblGrid>
      <w:tr>
        <w:trPr/>
        <w:tc>
          <w:tcPr>
            <w:tcW w:w="459" w:type="dxa"/>
            <w:tcBorders/>
          </w:tcPr>
          <w:p>
            <w:pPr>
              <w:pStyle w:val="TableContents"/>
              <w:bidi w:val="0"/>
              <w:spacing w:before="0" w:after="283"/>
              <w:jc w:val="left"/>
              <w:rPr/>
            </w:pPr>
            <w:r>
              <w:rPr/>
              <w:t>2.13</w:t>
            </w:r>
          </w:p>
        </w:tc>
        <w:tc>
          <w:tcPr>
            <w:tcW w:w="97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LIST OF STOCKHOLDERS ENTITLED TO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corporation shall prepare, no later than the tenth day before each meeting of stockholders, a complete list of the stockholders entitled to vote at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2.14</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INSPECTORS OF ELECTION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w:t>
      </w:r>
    </w:p>
    <w:p>
      <w:pPr>
        <w:pStyle w:val="TextBody"/>
        <w:bidi w:val="0"/>
        <w:spacing w:before="240" w:after="0"/>
        <w:jc w:val="left"/>
        <w:rPr>
          <w:rFonts w:ascii="Times New Roman" w:hAnsi="Times New Roman"/>
          <w:sz w:val="20"/>
        </w:rPr>
      </w:pPr>
      <w:r>
        <w:rPr>
          <w:rFonts w:ascii="Times New Roman" w:hAnsi="Times New Roman"/>
          <w:sz w:val="20"/>
        </w:rPr>
        <w:t xml:space="preserve">Each inspector, before entering upon the discharge of his or her duties, shall take and sign an oath to execute faithfully the duties of inspector with strict impartiality and according to the best of his or her ability. The inspector or inspectors so appointed and designated shall (i) ascertain the number of shares of capital stock of the corporation outstanding and the voting power of each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(v) certify their determination of the number of shares of capital stock of the corporation represented at the meeting and such inspector or inspectors’ count of all votes and ballots, (vi) determine when the polls shall close, (vii) determine the result and (viii) do any other acts that may be proper to conduct the election or vote with fairness to all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validity and counting of proxies and ballots cast at any meeting of stockholders of the corporation, the inspector or inspectors may consider such information as is permitted by applicable law. If there are three (3) inspectors of election, the decision, act or certificate of a majority is effective in all respects as the decision, act or certificate of all. Any report or certificate made by the inspectors of election is prima facie evidence of the facts stated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2.15</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PROXY ACCESS FOR DIRECTOR NOMINATIONS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this </w:t>
      </w:r>
      <w:r>
        <w:rPr>
          <w:rFonts w:ascii="Times New Roman" w:hAnsi="Times New Roman"/>
          <w:sz w:val="20"/>
          <w:u w:val="single"/>
        </w:rPr>
        <w:t>Section 2.15</w:t>
      </w:r>
      <w:r>
        <w:rPr>
          <w:rFonts w:ascii="Times New Roman" w:hAnsi="Times New Roman"/>
          <w:sz w:val="20"/>
        </w:rPr>
        <w:t>, the corporation shall include in its proxy statement and form of proxy card (together, “</w:t>
      </w:r>
      <w:r>
        <w:rPr>
          <w:rFonts w:ascii="Times New Roman" w:hAnsi="Times New Roman"/>
          <w:b/>
          <w:sz w:val="20"/>
        </w:rPr>
        <w:t>Proxy Materials</w:t>
      </w:r>
      <w:r>
        <w:rPr>
          <w:rFonts w:ascii="Times New Roman" w:hAnsi="Times New Roman"/>
          <w:sz w:val="20"/>
        </w:rPr>
        <w:t>”) the name, together with the Required Information (as defined below), of any person nominated for election (a “</w:t>
      </w:r>
      <w:r>
        <w:rPr>
          <w:rFonts w:ascii="Times New Roman" w:hAnsi="Times New Roman"/>
          <w:b/>
          <w:sz w:val="20"/>
        </w:rPr>
        <w:t>Stockholder Nominee</w:t>
      </w:r>
      <w:r>
        <w:rPr>
          <w:rFonts w:ascii="Times New Roman" w:hAnsi="Times New Roman"/>
          <w:sz w:val="20"/>
        </w:rPr>
        <w:t xml:space="preserve">”) to the board of directors by a stockholder, or by a group of no more than 20 stockholders, that satisfies the requirements of this </w:t>
      </w:r>
      <w:r>
        <w:rPr>
          <w:rFonts w:ascii="Times New Roman" w:hAnsi="Times New Roman"/>
          <w:sz w:val="20"/>
          <w:u w:val="single"/>
        </w:rPr>
        <w:t>Section 2.15</w:t>
      </w:r>
      <w:r>
        <w:rPr>
          <w:rFonts w:ascii="Times New Roman" w:hAnsi="Times New Roman"/>
          <w:sz w:val="20"/>
        </w:rPr>
        <w:t xml:space="preserve"> (such stockholder or group of stockholders, including each member thereof to the extent the context so requires, an “</w:t>
      </w:r>
      <w:r>
        <w:rPr>
          <w:rFonts w:ascii="Times New Roman" w:hAnsi="Times New Roman"/>
          <w:b/>
          <w:sz w:val="20"/>
        </w:rPr>
        <w:t>Eligible Stockholder</w:t>
      </w:r>
      <w:r>
        <w:rPr>
          <w:rFonts w:ascii="Times New Roman" w:hAnsi="Times New Roman"/>
          <w:sz w:val="20"/>
        </w:rPr>
        <w:t xml:space="preserve">”), and that expressly elects at the time of providing the notice required by this </w:t>
      </w:r>
      <w:r>
        <w:rPr>
          <w:rFonts w:ascii="Times New Roman" w:hAnsi="Times New Roman"/>
          <w:sz w:val="20"/>
          <w:u w:val="single"/>
        </w:rPr>
        <w:t>Section 2.15</w:t>
      </w:r>
      <w:r>
        <w:rPr>
          <w:rFonts w:ascii="Times New Roman" w:hAnsi="Times New Roman"/>
          <w:sz w:val="20"/>
        </w:rPr>
        <w:t xml:space="preserve"> (the “</w:t>
      </w:r>
      <w:r>
        <w:rPr>
          <w:rFonts w:ascii="Times New Roman" w:hAnsi="Times New Roman"/>
          <w:b/>
          <w:sz w:val="20"/>
        </w:rPr>
        <w:t>Nomination Notice</w:t>
      </w:r>
      <w:r>
        <w:rPr>
          <w:rFonts w:ascii="Times New Roman" w:hAnsi="Times New Roman"/>
          <w:sz w:val="20"/>
        </w:rPr>
        <w:t xml:space="preserve">”) to have its nominee included in the Proxy Materials pursuant to this </w:t>
      </w:r>
      <w:r>
        <w:rPr>
          <w:rFonts w:ascii="Times New Roman" w:hAnsi="Times New Roman"/>
          <w:sz w:val="20"/>
          <w:u w:val="single"/>
        </w:rPr>
        <w:t>Section 2.15</w:t>
      </w:r>
      <w:r>
        <w:rPr>
          <w:rFonts w:ascii="Times New Roman" w:hAnsi="Times New Roman"/>
          <w:sz w:val="20"/>
        </w:rPr>
        <w:t xml:space="preserve">. In the event that an Eligible Stockholder consists of a group of stockholders, any and all requirements and obligations for an individual Eligible Stockholder that are set forth in these bylaws shall apply to each member of such group, except that the Required Shares (as defined below) shall apply to the ownership of the group in the aggregate. No stockholder or person may be a member of more than one group of persons constituting an Eligible Stockholder under this </w:t>
      </w:r>
      <w:r>
        <w:rPr>
          <w:rFonts w:ascii="Times New Roman" w:hAnsi="Times New Roman"/>
          <w:sz w:val="20"/>
          <w:u w:val="single"/>
        </w:rPr>
        <w:t>Section 2.15</w:t>
      </w:r>
      <w:r>
        <w:rPr>
          <w:rFonts w:ascii="Times New Roman" w:hAnsi="Times New Roman"/>
          <w:sz w:val="20"/>
        </w:rPr>
        <w:t xml:space="preserve">, and each Eligible Stockholder may only contribute to the Required Shares pursuant to one Nomination Notice each fiscal year. So long as they provide to the secretary of the corporation documentation reasonably satisfactory to the board of directors that demonstrates that the funds satisfy the requirements of this sentence, a group of funds that are (1) under common management and investment control, (2) under common management and funded primarily by the same employer or (3) a “group of investment companies,” as such term is defined in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12(d)(1)(G)(ii) of the Investment Company Act of 1940, as amended, shall be treated as one stockholder for purposes of determining an Eligible Stockholder and the Required Shares. A record holder acting on behalf of one or more beneficial owners will not be counted separately as a stockholder with respect to the shares owned by beneficial owners on whose behalf such record holder has been directed in writing to act, but each such beneficial owner will be counted separately, subject to the other provisions of this </w:t>
      </w:r>
      <w:r>
        <w:rPr>
          <w:rFonts w:ascii="Times New Roman" w:hAnsi="Times New Roman"/>
          <w:sz w:val="20"/>
          <w:u w:val="single"/>
        </w:rPr>
        <w:t>Section 2.15</w:t>
      </w:r>
      <w:r>
        <w:rPr>
          <w:rFonts w:ascii="Times New Roman" w:hAnsi="Times New Roman"/>
          <w:sz w:val="20"/>
        </w:rPr>
        <w:t xml:space="preserve">, for purposes of determining the number of stockholders whose holdings may be considered as part of an Eligible Stockholder’s holdings. </w:t>
      </w:r>
    </w:p>
    <w:p>
      <w:pPr>
        <w:pStyle w:val="TextBody"/>
        <w:bidi w:val="0"/>
        <w:spacing w:before="240" w:after="0"/>
        <w:jc w:val="left"/>
        <w:rPr>
          <w:rFonts w:ascii="Times New Roman" w:hAnsi="Times New Roman"/>
          <w:sz w:val="20"/>
        </w:rPr>
      </w:pPr>
      <w:r>
        <w:rPr>
          <w:rFonts w:ascii="Times New Roman" w:hAnsi="Times New Roman"/>
          <w:sz w:val="20"/>
        </w:rPr>
        <w:t xml:space="preserve">To be timely, a Nomination Notice must be delivered to or mailed and received by the secretary of the corporation at the principal executive offices of the corporation not less than 120 days nor more than 150 days prior to the first anniversary of the date that the corporation issued its proxy statement to stockholders in connection with the preceding year’s annual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of the date of such annual meeting is first made.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2.15</w:t>
      </w:r>
      <w:r>
        <w:rPr>
          <w:rFonts w:ascii="Times New Roman" w:hAnsi="Times New Roman"/>
          <w:sz w:val="20"/>
        </w:rPr>
        <w:t>, the “</w:t>
      </w:r>
      <w:r>
        <w:rPr>
          <w:rFonts w:ascii="Times New Roman" w:hAnsi="Times New Roman"/>
          <w:b/>
          <w:sz w:val="20"/>
        </w:rPr>
        <w:t>Required Information</w:t>
      </w:r>
      <w:r>
        <w:rPr>
          <w:rFonts w:ascii="Times New Roman" w:hAnsi="Times New Roman"/>
          <w:sz w:val="20"/>
        </w:rPr>
        <w:t xml:space="preserve">” that the corporation will include in its proxy statement is (i) the information provided to the corporation concerning the Stockholder Nominee and the Eligible Stockholder that is required to be disclosed in the corporation’s proxy statement by the regulations promulgated under the 1934 Act; and (ii) if the Eligible Stockholder so elects, a Statement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Stockholder Nominees appearing in the Proxy Materials with respect to an annual meeting of stockholders shall not exceed the greater of (a) two or (b) 20% of the number of directors in office as of the last day on which a Nomination Notice may be delivered pursuant to this </w:t>
      </w:r>
      <w:r>
        <w:rPr>
          <w:rFonts w:ascii="Times New Roman" w:hAnsi="Times New Roman"/>
          <w:sz w:val="20"/>
          <w:u w:val="single"/>
        </w:rPr>
        <w:t>Section 2.15</w:t>
      </w:r>
      <w:r>
        <w:rPr>
          <w:rFonts w:ascii="Times New Roman" w:hAnsi="Times New Roman"/>
          <w:sz w:val="20"/>
        </w:rPr>
        <w:t xml:space="preserve">, or if the number of directors calculated in this sentence is not a whole number, the closest whole number (rounding down) below 20%. The following persons shall be considered Stockholder Nominees for purposes of determining when the maximum number of Stockholder Nominees provided for in this </w:t>
      </w:r>
      <w:r>
        <w:rPr>
          <w:rFonts w:ascii="Times New Roman" w:hAnsi="Times New Roman"/>
          <w:sz w:val="20"/>
          <w:u w:val="single"/>
        </w:rPr>
        <w:t>Section 2.15</w:t>
      </w:r>
      <w:r>
        <w:rPr>
          <w:rFonts w:ascii="Times New Roman" w:hAnsi="Times New Roman"/>
          <w:sz w:val="20"/>
        </w:rPr>
        <w:t xml:space="preserve"> for an annual meeting of stockholders has been reached: (i) any person elected to the board of directors who was a Stockholder Nominee at a preceding annual meeting and whose remaining term extends beyond the upcoming annual meeting of stockholders; (ii) any Stockholder Nominee whom the corporation decides to nominate as a nominee of the board of directors after a valid Nomination Notice has been submitted by an Eligible Stockholder; (iii) any person nominated in accordance with </w:t>
      </w:r>
      <w:r>
        <w:rPr>
          <w:rFonts w:ascii="Times New Roman" w:hAnsi="Times New Roman"/>
          <w:sz w:val="20"/>
          <w:u w:val="single"/>
        </w:rPr>
        <w:t>Section 2.4(ii)</w:t>
      </w:r>
      <w:r>
        <w:rPr>
          <w:rFonts w:ascii="Times New Roman" w:hAnsi="Times New Roman"/>
          <w:sz w:val="20"/>
        </w:rPr>
        <w:t xml:space="preserve"> (whether or not such nomination is subsequently withdrawn); (iv) any person serving as a director or as a director nominee who, in either case, was elected or appointed to the board of directors or will be included in the Proxy Materials as an unopposed (by the corporation) nominee pursuant to an agreement, arrangement or other understanding with a stockholder or group of stockholders (other than any such agreement, arrangement or understanding entered into in connection with an acquisition of shares of common stock of the corporation by such stockholder or group of stockholders from the corporation), other than any director whose term of office will expire at such annual meeting of stockholders and who is not seeking (or agreeing) to be nominated 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annual meeting of stockholders for another term of office; and (v) any Stockholder Nominee who is subsequently withdrawn. Notwithstanding the previous sentence, in no event will the number of Stockholder Nominees in the Proxy Materials be below one if a Nomination Notice is properly delivered pursuant to this </w:t>
      </w:r>
      <w:r>
        <w:rPr>
          <w:rFonts w:ascii="Times New Roman" w:hAnsi="Times New Roman"/>
          <w:sz w:val="20"/>
          <w:u w:val="single"/>
        </w:rPr>
        <w:t>Section 2.15</w:t>
      </w:r>
      <w:r>
        <w:rPr>
          <w:rFonts w:ascii="Times New Roman" w:hAnsi="Times New Roman"/>
          <w:sz w:val="20"/>
        </w:rPr>
        <w:t xml:space="preserve">. In no circumstance shall the number of Stockholder Nominees exceed the number of directors to be elected at the annual meeting of stockholders as noticed by the corporation. In the event that the board of directors resolves to reduce the size of the board of directors effective on or prior to the date of the annual meeting of stockholders, the number of Stockholder Nominees shall be calculated based on the number of directors in office as so reduced. </w:t>
      </w:r>
    </w:p>
    <w:p>
      <w:pPr>
        <w:pStyle w:val="TextBody"/>
        <w:bidi w:val="0"/>
        <w:spacing w:before="240" w:after="0"/>
        <w:jc w:val="left"/>
        <w:rPr>
          <w:rFonts w:ascii="Times New Roman" w:hAnsi="Times New Roman"/>
          <w:sz w:val="20"/>
        </w:rPr>
      </w:pPr>
      <w:r>
        <w:rPr>
          <w:rFonts w:ascii="Times New Roman" w:hAnsi="Times New Roman"/>
          <w:sz w:val="20"/>
        </w:rPr>
        <w:t xml:space="preserve">An Eligible Stockholder submitting more than one Stockholder Nominee pursuant to this </w:t>
      </w:r>
      <w:r>
        <w:rPr>
          <w:rFonts w:ascii="Times New Roman" w:hAnsi="Times New Roman"/>
          <w:sz w:val="20"/>
          <w:u w:val="single"/>
        </w:rPr>
        <w:t>Section 2.15</w:t>
      </w:r>
      <w:r>
        <w:rPr>
          <w:rFonts w:ascii="Times New Roman" w:hAnsi="Times New Roman"/>
          <w:sz w:val="20"/>
        </w:rPr>
        <w:t xml:space="preserve"> shall rank each such Stockholder Nominee based on the order that such Eligible Stockholder desires that such Stockholder Nominees be selected for inclusion in the Proxy Materials. Such ranking must be included in the Nomination Notice. In the event that the number of Stockholder Nominees submitted by Eligible Stockholders pursuant to this </w:t>
      </w:r>
      <w:r>
        <w:rPr>
          <w:rFonts w:ascii="Times New Roman" w:hAnsi="Times New Roman"/>
          <w:sz w:val="20"/>
          <w:u w:val="single"/>
        </w:rPr>
        <w:t>Section 2.15</w:t>
      </w:r>
      <w:r>
        <w:rPr>
          <w:rFonts w:ascii="Times New Roman" w:hAnsi="Times New Roman"/>
          <w:sz w:val="20"/>
        </w:rPr>
        <w:t xml:space="preserve"> exceeds the maximum number of Stockholder Nominees that the corporation must include in the Proxy Materials, then the highest-ranking qualifying Stockholder Nominee from each Eligible Stockholder will be selected by the corporation for inclusion in the Proxy Materials until the maximum number is reached, going in order of the amount (largest to smallest) of shares of the common stock of the corporation that each Eligible Stockholder disclosed as owned in its respective Nomination Notice. If the maximum number of Stockholder Nominees is not reached after the highest ranking Stockholder Nominee from each Eligible Stockholder has been selected, then this selection process will continue as many times as necessary, following the same order each time, until the maximum number of Stockholder Nominees is reached. Following such determination, if any Stockholder Nominee who satisfies the eligibility requirements in this </w:t>
      </w:r>
      <w:r>
        <w:rPr>
          <w:rFonts w:ascii="Times New Roman" w:hAnsi="Times New Roman"/>
          <w:sz w:val="20"/>
          <w:u w:val="single"/>
        </w:rPr>
        <w:t>Section 2.15</w:t>
      </w:r>
      <w:r>
        <w:rPr>
          <w:rFonts w:ascii="Times New Roman" w:hAnsi="Times New Roman"/>
          <w:sz w:val="20"/>
        </w:rPr>
        <w:t xml:space="preserve"> thereafter (i) withdraws from the election (or his or her nomination is withdrawn by the applicable Eligible Stockholder) or (ii) is not submitted for director election for any reason (including because of the Eligible Stockholder’s or Stockholder Nominee’s failure to comply with this </w:t>
      </w:r>
      <w:r>
        <w:rPr>
          <w:rFonts w:ascii="Times New Roman" w:hAnsi="Times New Roman"/>
          <w:sz w:val="20"/>
          <w:u w:val="single"/>
        </w:rPr>
        <w:t>Section 2.15</w:t>
      </w:r>
      <w:r>
        <w:rPr>
          <w:rFonts w:ascii="Times New Roman" w:hAnsi="Times New Roman"/>
          <w:sz w:val="20"/>
        </w:rPr>
        <w:t xml:space="preserve">), then no other nominee or nominees shall be included in the Proxy Materials or otherwise submitted for director election pursuant to this </w:t>
      </w:r>
      <w:r>
        <w:rPr>
          <w:rFonts w:ascii="Times New Roman" w:hAnsi="Times New Roman"/>
          <w:sz w:val="20"/>
          <w:u w:val="single"/>
        </w:rPr>
        <w:t>Section 2.15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2.15</w:t>
      </w:r>
      <w:r>
        <w:rPr>
          <w:rFonts w:ascii="Times New Roman" w:hAnsi="Times New Roman"/>
          <w:sz w:val="20"/>
        </w:rPr>
        <w:t xml:space="preserve">, an Eligible Stockholder shall be deemed to “own” only those outstanding shares of common stock of the corporation as to which the stockholder possesses both (i) the full voting and investment rights pertaining to the shares and (ii) the full economic interest in (including the opportunity for profit and risk of loss on) such shares. The number of shares calculated in accordance with clauses (i) and (ii) of the previous sentence shall not include (and to the extent any of the following arrangements have been entered into by affiliates (as defined below) of the Eligible Stockholder, shall be reduced by) any shares (a) sold by such stockholder or any of its affiliates in any transaction that has not been settled or closed, including any short sale; (b) borrowed by such stockholder or any of its affiliates for any purpose or purchased by such stockholder or any of its affiliates pursuant to an agreement to resell; or (c) subject to any option, warrant, forward contract, swap, contract of sale, or other derivative or similar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either or both of (1) reducing in any manner, to any extent or at any time in the future, such stockholder’s or its affiliates’ full right to vote or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voting of any such shares; or (2) hedging, offsetting or altering to any degree gain or loss arising from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person’s ownership of shares of common stock of the corporation shall be deemed to continue during any period in which the person has (A) loaned such shares but only so long as the person (i) has the power to recall such loaned shares on no more than five business days’ notice, (ii) recalls such loaned shares back to its own possession not more than five business days after being notified that its Stockholder Nominee will be included in the Proxy Materials and (iii) holds the recalled shares through the date of the annual meeting of stockholders or any adjournment or postponement thereof; or (B) delegated any voting power by means of a proxy, power of attorney, or other instrument or arrangement that is revocable at any time by the person. The terms “owned,” “owning” and other variations of the word “own” shall have correlative meanings. For purposes of this </w:t>
      </w:r>
      <w:r>
        <w:rPr>
          <w:rFonts w:ascii="Times New Roman" w:hAnsi="Times New Roman"/>
          <w:sz w:val="20"/>
          <w:u w:val="single"/>
        </w:rPr>
        <w:t>Section 2.15</w:t>
      </w:r>
      <w:r>
        <w:rPr>
          <w:rFonts w:ascii="Times New Roman" w:hAnsi="Times New Roman"/>
          <w:sz w:val="20"/>
        </w:rPr>
        <w:t>, “</w:t>
      </w:r>
      <w:r>
        <w:rPr>
          <w:rFonts w:ascii="Times New Roman" w:hAnsi="Times New Roman"/>
          <w:b/>
          <w:sz w:val="20"/>
        </w:rPr>
        <w:t>affiliate</w:t>
      </w:r>
      <w:r>
        <w:rPr>
          <w:rFonts w:ascii="Times New Roman" w:hAnsi="Times New Roman"/>
          <w:sz w:val="20"/>
        </w:rPr>
        <w:t xml:space="preserve">” shall have the meaning given in Rule 405 under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In order to validly submit a Nomination Notice, an Eligible Stockholder must (i) have owned continuously throughout the three- year period preceding and including the date that the Nomination Notice is received at the principal executive offices of the corporation in accordance with this </w:t>
      </w:r>
      <w:r>
        <w:rPr>
          <w:rFonts w:ascii="Times New Roman" w:hAnsi="Times New Roman"/>
          <w:sz w:val="20"/>
          <w:u w:val="single"/>
        </w:rPr>
        <w:t>Section 2.15</w:t>
      </w:r>
      <w:r>
        <w:rPr>
          <w:rFonts w:ascii="Times New Roman" w:hAnsi="Times New Roman"/>
          <w:sz w:val="20"/>
        </w:rPr>
        <w:t xml:space="preserve"> that number of shares of common stock of the corporation equal to 3% or more of the outstanding common stock of the corporation (the “</w:t>
      </w:r>
      <w:r>
        <w:rPr>
          <w:rFonts w:ascii="Times New Roman" w:hAnsi="Times New Roman"/>
          <w:b/>
          <w:sz w:val="20"/>
        </w:rPr>
        <w:t>Required Shares</w:t>
      </w:r>
      <w:r>
        <w:rPr>
          <w:rFonts w:ascii="Times New Roman" w:hAnsi="Times New Roman"/>
          <w:sz w:val="20"/>
        </w:rPr>
        <w:t xml:space="preserve">”) as of the most recent date for which such outstanding number is disclosed in any filing by the corporation with the SEC prior to the date that the Nomination Notice is received at the principal executive offices of the corporation; and (ii) continue to own the Required Shares through the date of the annual meeting of stockholders for which the Nomination Notice was submitted. </w:t>
      </w:r>
    </w:p>
    <w:p>
      <w:pPr>
        <w:pStyle w:val="TextBody"/>
        <w:bidi w:val="0"/>
        <w:spacing w:before="240" w:after="0"/>
        <w:jc w:val="left"/>
        <w:rPr>
          <w:rFonts w:ascii="Times New Roman" w:hAnsi="Times New Roman"/>
          <w:sz w:val="20"/>
        </w:rPr>
      </w:pPr>
      <w:r>
        <w:rPr>
          <w:rFonts w:ascii="Times New Roman" w:hAnsi="Times New Roman"/>
          <w:sz w:val="20"/>
        </w:rPr>
        <w:t xml:space="preserve">With the Nomination Notice, an Eligible Stockholder must provide the following information in writing to the secretary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 the Eligible Stockholder’s name and address, and the number of Required Shares owned by such Eligible Stockholder; </w:t>
      </w:r>
    </w:p>
    <w:p>
      <w:pPr>
        <w:pStyle w:val="TextBody"/>
        <w:bidi w:val="0"/>
        <w:spacing w:before="120" w:after="0"/>
        <w:jc w:val="left"/>
        <w:rPr>
          <w:rFonts w:ascii="Times New Roman" w:hAnsi="Times New Roman"/>
          <w:sz w:val="20"/>
        </w:rPr>
      </w:pPr>
      <w:r>
        <w:rPr>
          <w:rFonts w:ascii="Times New Roman" w:hAnsi="Times New Roman"/>
          <w:sz w:val="20"/>
        </w:rPr>
        <w:t xml:space="preserve">(ii) one or more written statements from the record holder of the shares (and from each intermediary through which the shares are or have been held during the requisite three-year holding period) verifying that, within seven days prior to the date that the Nomination Notice is delivered to the corporation, the Eligible Stockholder (including each member of any group of stockholders that together is an Eligible Stockholder) owns, and has owned continuously for the preceding three years, the Required Shares; </w:t>
      </w:r>
    </w:p>
    <w:p>
      <w:pPr>
        <w:pStyle w:val="TextBody"/>
        <w:bidi w:val="0"/>
        <w:spacing w:before="120" w:after="0"/>
        <w:jc w:val="left"/>
        <w:rPr>
          <w:rFonts w:ascii="Times New Roman" w:hAnsi="Times New Roman"/>
          <w:sz w:val="20"/>
        </w:rPr>
      </w:pPr>
      <w:r>
        <w:rPr>
          <w:rFonts w:ascii="Times New Roman" w:hAnsi="Times New Roman"/>
          <w:sz w:val="20"/>
        </w:rPr>
        <w:t xml:space="preserve">(iii) a written statement regarding the Eligible Stockholder’s intent with respect to continued ownership of the Required Shares after the date of the annual meeting of stockholders (it being understood that this statement will not be deemed to impose any obligation on the Eligible Stockholder to hold any of the Required Shares after the date of the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Eligible Stockholder’s agreement to provide, within five days after (A) the record date for the annual meeting of stockholders (if, prior to such record date, the corporation (1) has made a Public Announcement of such record date or (2) delivered a written notice of such record date (including by electronic mail) to the Eligible Stockholder) or (B) the date on which the corporation delivered to the Eligible Stockholder written notice (including by electronic mail) of such record date (if such notice is provided after such record date), written statements from the record holder and any intermediaries verifying the continuous ownership by such Eligible Stockholder (including each member of any group of stockholders that together is an Eligible Stockholder) of the Required Shares through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(v) the Eligible Stockholder’s agreement to provide prompt notice if it ceases to own any of the Required Shares prior to the date of the annual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(vi) the information (including with respect to the Stockholder Nominees of such Eligible Stockholder) that would be required to be set forth in a stockholder’s notice of a nomination pursuant to </w:t>
      </w:r>
      <w:r>
        <w:rPr>
          <w:rFonts w:ascii="Times New Roman" w:hAnsi="Times New Roman"/>
          <w:sz w:val="20"/>
          <w:u w:val="single"/>
        </w:rPr>
        <w:t>Section 2.4(ii)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 copy of the Schedule 14N that has been or concurrently is filed with the SEC as required by Rule 14a-18 under the 1934 Act, as such rule may be amended; </w:t>
      </w:r>
    </w:p>
    <w:p>
      <w:pPr>
        <w:pStyle w:val="TextBody"/>
        <w:bidi w:val="0"/>
        <w:spacing w:before="120" w:after="0"/>
        <w:jc w:val="left"/>
        <w:rPr>
          <w:rFonts w:ascii="Times New Roman" w:hAnsi="Times New Roman"/>
          <w:sz w:val="20"/>
        </w:rPr>
      </w:pPr>
      <w:r>
        <w:rPr>
          <w:rFonts w:ascii="Times New Roman" w:hAnsi="Times New Roman"/>
          <w:sz w:val="20"/>
        </w:rPr>
        <w:t xml:space="preserve">(viii) for each group, the name, address, phone number and email address of an individual who will act as a representative for the group and is authorized to act on behalf of all such members with respect to the nomination and matters related thereto, including any withdrawal of the nomination; </w:t>
      </w:r>
    </w:p>
    <w:p>
      <w:pPr>
        <w:pStyle w:val="TextBody"/>
        <w:bidi w:val="0"/>
        <w:spacing w:before="120" w:after="0"/>
        <w:jc w:val="left"/>
        <w:rPr>
          <w:rFonts w:ascii="Times New Roman" w:hAnsi="Times New Roman"/>
          <w:sz w:val="20"/>
        </w:rPr>
      </w:pPr>
      <w:r>
        <w:rPr>
          <w:rFonts w:ascii="Times New Roman" w:hAnsi="Times New Roman"/>
          <w:sz w:val="20"/>
        </w:rPr>
        <w:t xml:space="preserve">(ix) a representation that the Eligible Stockholder (including each member of any group of stockholders that together is an Eligible Stockholder) (A) acquired the Required Shares in the ordinary course of business and not with the intent to change or influence control at the corporation, and does not presently have such intent; (B) has not nominated and will not nominate for election to the board of directors at the annual meeting of stockholders any person other than the Stockholder Nominee(s) being nominated pursuant to this </w:t>
      </w:r>
      <w:r>
        <w:rPr>
          <w:rFonts w:ascii="Times New Roman" w:hAnsi="Times New Roman"/>
          <w:sz w:val="20"/>
          <w:u w:val="single"/>
        </w:rPr>
        <w:t>Section 2.15</w:t>
      </w:r>
      <w:r>
        <w:rPr>
          <w:rFonts w:ascii="Times New Roman" w:hAnsi="Times New Roman"/>
          <w:sz w:val="20"/>
        </w:rPr>
        <w:t xml:space="preserve">; (C) has not engaged and will not engage in, and has not and will not be a “participant” in another person’s, “solicitation” within the meaning of Rule 14a-1(l) under the 1934 Act in support of the election of any individual as a director at the annual meeting of stockholders other than its Stockholder Nominee or a nominee of the board of directors; (D) will not distribute to any stockholder any form of proxy for the annual meeting other than the form distributed by the corporation; and (E) intends to own the Required Shares through the date of the annual meeting of stockholders; and </w:t>
      </w:r>
    </w:p>
    <w:p>
      <w:pPr>
        <w:pStyle w:val="TextBody"/>
        <w:bidi w:val="0"/>
        <w:spacing w:before="120" w:after="0"/>
        <w:jc w:val="left"/>
        <w:rPr>
          <w:rFonts w:ascii="Times New Roman" w:hAnsi="Times New Roman"/>
          <w:sz w:val="20"/>
        </w:rPr>
      </w:pPr>
      <w:r>
        <w:rPr>
          <w:rFonts w:ascii="Times New Roman" w:hAnsi="Times New Roman"/>
          <w:sz w:val="20"/>
        </w:rPr>
        <w:t xml:space="preserve">(x) an undertaking that the Eligible Stockholder (including each member of any group of stockholders that together is an Eligible Stockholder) agrees to (A) assume all liability stemming from any legal or regulatory violation arising out of the Eligible Stockholder’s communications with the stockholders of the corporation or out of the information that the Eligible Stockholder provided to the corporation;(B) comply with all other laws and regulations applicable to any solicitation in connection with the annual meeting of stockholders; and (C) promptly provide to the corporation prior to the annual meeting of stockholders such additional information as necessary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For avoidance of doubt, a stockholder may withdraw from a group of stockholders at any time prior to the annual meeting of stockholders. If, as a result of such withdrawal, the Eligible Stockholder no longer owns the Required Shares, then all nominations by such Eligible Stockholder shall be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each of its Stockholder Nominees, an Eligible Stockholder may provide to the secretary of the corporation a single written statement (or, in the case of a group, a single written statement of the group), not to exceed 500 words, for inclusion in the Proxy Materials in support of the candidacy of such Stockholder Nominee (each, a “</w:t>
      </w:r>
      <w:r>
        <w:rPr>
          <w:rFonts w:ascii="Times New Roman" w:hAnsi="Times New Roman"/>
          <w:b/>
          <w:sz w:val="20"/>
        </w:rPr>
        <w:t>Statement</w:t>
      </w:r>
      <w:r>
        <w:rPr>
          <w:rFonts w:ascii="Times New Roman" w:hAnsi="Times New Roman"/>
          <w:sz w:val="20"/>
        </w:rPr>
        <w:t xml:space="preserve">”). Any Statement must be provided at the same time as, and in connection with, the Nomination Notice in respect of such Stockholder Nominee. Notwithstanding anything to the contrary contained in this </w:t>
      </w:r>
      <w:r>
        <w:rPr>
          <w:rFonts w:ascii="Times New Roman" w:hAnsi="Times New Roman"/>
          <w:sz w:val="20"/>
          <w:u w:val="single"/>
        </w:rPr>
        <w:t>Section 2.15</w:t>
      </w:r>
      <w:r>
        <w:rPr>
          <w:rFonts w:ascii="Times New Roman" w:hAnsi="Times New Roman"/>
          <w:sz w:val="20"/>
        </w:rPr>
        <w:t xml:space="preserve">, the corporation may omit from the Proxy Materials any information or Statement (or portion thereof) that it, in good faith, believes would violate any applicable law or regulation. Nothing in this </w:t>
      </w:r>
      <w:r>
        <w:rPr>
          <w:rFonts w:ascii="Times New Roman" w:hAnsi="Times New Roman"/>
          <w:sz w:val="20"/>
          <w:u w:val="single"/>
        </w:rPr>
        <w:t>Section 2.15</w:t>
      </w:r>
      <w:r>
        <w:rPr>
          <w:rFonts w:ascii="Times New Roman" w:hAnsi="Times New Roman"/>
          <w:sz w:val="20"/>
        </w:rPr>
        <w:t xml:space="preserve"> shall limit the corporation’s ability to solicit against and include in its Proxy Materials its own statements relating to any Eligible Stockholder or Stockholder Nominee. </w:t>
      </w:r>
    </w:p>
    <w:p>
      <w:pPr>
        <w:pStyle w:val="TextBody"/>
        <w:bidi w:val="0"/>
        <w:spacing w:before="240" w:after="0"/>
        <w:jc w:val="left"/>
        <w:rPr>
          <w:rFonts w:ascii="Times New Roman" w:hAnsi="Times New Roman"/>
          <w:sz w:val="20"/>
        </w:rPr>
      </w:pPr>
      <w:r>
        <w:rPr>
          <w:rFonts w:ascii="Times New Roman" w:hAnsi="Times New Roman"/>
          <w:sz w:val="20"/>
        </w:rPr>
        <w:t xml:space="preserve">With the applicable Nomination Notice, a Stockholder Nominee must deliver to the secretary of the corporation a signed agreement reasonably acceptable to the corporation (a form of which is available from the corporation and will be provided promptly upon the written request of a stockholder) that the Stockholder Nominee (i) consents to being named in the Proxy Materials as a nominee and to serving as a director if elected and will not, with respect to the corporation, agree to be named in any other person’s proxy statement or form of proxy card at the applicable annual meeting of stockholders; (ii) is not and will not become a party to any agreement, arrangement or understanding with, and has not given any commitment or assurance to, any person or entity as to how such Stockholder Nominee, if elected as a director of the corporation, will act or vote on any issue or question that has not been disclosed to the corporation; (iii)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(iv) if elected as a director, will comply with all of the corporation’s corporate governance, conflict of interest, confidentiality and stock ownership and trading policies, procedures and guidelines, and any other corporation policies, procedures and guidelines applicable to directors, as well as any applicable law, rule or regulation or listing requirement. </w:t>
      </w:r>
    </w:p>
    <w:p>
      <w:pPr>
        <w:pStyle w:val="TextBody"/>
        <w:bidi w:val="0"/>
        <w:spacing w:before="240" w:after="0"/>
        <w:jc w:val="left"/>
        <w:rPr>
          <w:rFonts w:ascii="Times New Roman" w:hAnsi="Times New Roman"/>
          <w:sz w:val="20"/>
        </w:rPr>
      </w:pPr>
      <w:r>
        <w:rPr>
          <w:rFonts w:ascii="Times New Roman" w:hAnsi="Times New Roman"/>
          <w:sz w:val="20"/>
        </w:rPr>
        <w:t>At the request of the corporation, the Stockholder Nominee must promptly, but in any event within five business days after such request, submit all completed and signed questionnaires required of the corporation’s directors and officers. The corporation may request such additional information as is reasonably necessary to permit the board of directors to determine if each Stockholder Nominee (i) is independent under the listing standards of the principal U.S. exchange upon which the corporation’s common stock is listed, any applicable rules of the SEC and any publicly disclosed standards used by the board of directors in determining and disclosing the independence of the corporation’s directors (the “</w:t>
      </w:r>
      <w:r>
        <w:rPr>
          <w:rFonts w:ascii="Times New Roman" w:hAnsi="Times New Roman"/>
          <w:b/>
          <w:sz w:val="20"/>
        </w:rPr>
        <w:t>Applicable Independence Standards</w:t>
      </w:r>
      <w:r>
        <w:rPr>
          <w:rFonts w:ascii="Times New Roman" w:hAnsi="Times New Roman"/>
          <w:sz w:val="20"/>
        </w:rPr>
        <w:t xml:space="preserve">”); (ii) has any direct or indirect relationship with the corporation other than those relationships that have been deemed categorically immaterial pursuant to the corporation’s corporate governance policy; (iii) would, by serving on the board of directors, violate or cause the corporation to be in violation of these bylaws, the certificate of incorporation, the rules and listing standards of the principal U.S. exchange upon which the corporation’s common stock is listed or any applicable law, rule or regulation; or (vi) is or has been subject to any event specified in Item 401(f) of Regulation S-K (or successor rule)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any information or communications provided by the Eligible Stockholder or the Stockholder Nominee to the corporation or its stockholders ceases to be true and correct in all material respects or omits a material fact necessary to make the statements made, in light of the circumstances under which they were made, not misleading, then each Eligible Stockholder or Stockholder Nominee, as the case may be, shall promptly notify the secretary of the corporation of any defect in such previously provided information and of the information that is required to correct any such defect, it being understood that providing any such notification shall not be deemed to cure any such defect or limit the corporation’s right to omit a Stockholder Nominee from the Proxy Materials pursuant to this </w:t>
      </w:r>
      <w:r>
        <w:rPr>
          <w:rFonts w:ascii="Times New Roman" w:hAnsi="Times New Roman"/>
          <w:sz w:val="20"/>
          <w:u w:val="single"/>
        </w:rPr>
        <w:t>Section 2.15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not be required to include any Stockholder Nominees in the Proxy Materials for any annual meeting of stockholders (or, if the Proxy Materials have been filed with the SEC, to allow the nomination of (or vote with respect to) a Stockholder Nominee (and may declare such nomination ineligible), notwithstanding that proxies in respect of such annual meeting of stockholders may have been received by the corporation) (i) if the Eligible Stockholder who has nominated such Stockholder Nominee has engaged in or is currently engaged in a, or has been or is a “participant” in another person’s, “solicitation” within the meaning of Rule 14a-1(l) under the 1934 Act in support of the election of any individual as a director at the annual meeting of stockholders other than its Stockholder Nominee(s) or a nominee of the board of directors; (ii) who is not independent under the Applicable Independence Standards, as determined in good faith by the board of directors; (iii) whose election as a member of the board of directors would cause the corporation to be in violation of these bylaws, the certificate of incorporation, the listing standards of the principal exchange upon which the corporation’s common stock is traded, or any applicable law, rule or regulation; (iv) who is or has been, within the past three years, an officer or director of a competitor, as defined in Section 8 of the Clayton Antitrust Act of 1914, or is presently a nominee for director (or comparable position) at a competitor; (v) who is a named subject of a pending criminal proceeding (excluding traffic violations and other minor offenses) or has been convicted in such a criminal proceeding within the past 10 years; (vi) who is subject to any order of the type specified in Rule 506(d) of Regulation D promulgated under the Securities Act of 1933, as amended; (vii) if such Stockholder Nominee or the Eligible Stockholder shall have provided information to the corporation in respect to such nomination that was untrue in any material respect or omitted to state a material fact necessary in order to make the statement made, in light of the circumstances under which it was made, not misleading; (viii) if the Eligible Stockholder or Stockholder Nominee otherwise contravenes any of the agreements or representations made by such Eligible Stockholder or Stockholder Nominee or fails to comply with its obligations pursuant to this </w:t>
      </w:r>
      <w:r>
        <w:rPr>
          <w:rFonts w:ascii="Times New Roman" w:hAnsi="Times New Roman"/>
          <w:sz w:val="20"/>
          <w:u w:val="single"/>
        </w:rPr>
        <w:t>Section 2.15</w:t>
      </w:r>
      <w:r>
        <w:rPr>
          <w:rFonts w:ascii="Times New Roman" w:hAnsi="Times New Roman"/>
          <w:sz w:val="20"/>
        </w:rPr>
        <w:t xml:space="preserve">; or (ix) if the Stockholder Nominee dies, become disabled or otherwise becomes ineligible or otherwise unavailable for election at the annual meeting of stockholders. With respect to any Stockholder Nominee who becomes ineligible, the corporation shall not be required to include in the Proxy Materials any successor or replacement nominee proposed by the applicable Eligible Stockholder or any other Eligible Stockholder.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in this </w:t>
      </w:r>
      <w:r>
        <w:rPr>
          <w:rFonts w:ascii="Times New Roman" w:hAnsi="Times New Roman"/>
          <w:sz w:val="20"/>
          <w:u w:val="single"/>
        </w:rPr>
        <w:t>Section 2.15</w:t>
      </w:r>
      <w:r>
        <w:rPr>
          <w:rFonts w:ascii="Times New Roman" w:hAnsi="Times New Roman"/>
          <w:sz w:val="20"/>
        </w:rPr>
        <w:t xml:space="preserve">, the board of directors or the chairperson presiding at the annual meeting of stockholders shall declare a nomination by an Eligible Stockholder to be invalid, and such nomination shall be disregarded notwithstanding that proxies in respect of such annual meeting of stockholders may have been received by the corporation, if the Stockholder Nominee(s), the applicable Eligible Stockholder or both shall have breached its or their obligations, agreements or representations under this </w:t>
      </w:r>
      <w:r>
        <w:rPr>
          <w:rFonts w:ascii="Times New Roman" w:hAnsi="Times New Roman"/>
          <w:sz w:val="20"/>
          <w:u w:val="single"/>
        </w:rPr>
        <w:t>Section 2.15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Eligible Stockholder (including any person who owns shares of common stock of the corporation that constitute part of the Eligible Stockholder’s ownership for purposes of satisfying the requirements of this </w:t>
      </w:r>
      <w:r>
        <w:rPr>
          <w:rFonts w:ascii="Times New Roman" w:hAnsi="Times New Roman"/>
          <w:sz w:val="20"/>
          <w:u w:val="single"/>
        </w:rPr>
        <w:t>Section 2.15</w:t>
      </w:r>
      <w:r>
        <w:rPr>
          <w:rFonts w:ascii="Times New Roman" w:hAnsi="Times New Roman"/>
          <w:sz w:val="20"/>
        </w:rPr>
        <w:t xml:space="preserve">) shall file with the SEC any solicitation of the corporation’s stockholders relating to the meeting at which the Stockholder Nominee will be nominated, regardless of whether any such filing is required under Regulation 14A of the 1934 Act or whether any exemption from filing is available for such solicitation under Regulation 14A of the 1934 Act.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w:t>
      </w:r>
      <w:r>
        <w:rPr>
          <w:rFonts w:ascii="Times New Roman" w:hAnsi="Times New Roman"/>
          <w:sz w:val="20"/>
          <w:u w:val="single"/>
        </w:rPr>
        <w:t>Section 2.15</w:t>
      </w:r>
      <w:r>
        <w:rPr>
          <w:rFonts w:ascii="Times New Roman" w:hAnsi="Times New Roman"/>
          <w:sz w:val="20"/>
        </w:rPr>
        <w:t xml:space="preserve"> shall not prevent any stockholder from nominating any person to the board of directors pursuant to and in accordance with </w:t>
      </w:r>
      <w:r>
        <w:rPr>
          <w:rFonts w:ascii="Times New Roman" w:hAnsi="Times New Roman"/>
          <w:sz w:val="20"/>
          <w:u w:val="single"/>
        </w:rPr>
        <w:t>Section 2.4(ii)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2.15</w:t>
      </w:r>
      <w:r>
        <w:rPr>
          <w:rFonts w:ascii="Times New Roman" w:hAnsi="Times New Roman"/>
          <w:sz w:val="20"/>
        </w:rPr>
        <w:t xml:space="preserve"> is the exclusive method for stockholders to include nominees for director in the Proxy Materials, except to the extent required by Rule 14a-19 under the 1934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business and affairs of the corporation shall be managed by or under the direction of the board of directors, except as may be otherwise provided in the DGCL or the certificate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consist of one or more members, each of whom shall be a natural person. Unless the certificate of incorporation fixes the number of directors, the number of directors shall be determined from time to time solely by resolution of the board of directors. No reduction of the authorized number of directors shall have the effect of removing any director before that director’s term of office expires.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QUALIFICATION AND TERM OF OFFICE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provided in </w:t>
      </w:r>
      <w:r>
        <w:rPr>
          <w:rFonts w:ascii="Times New Roman" w:hAnsi="Times New Roman"/>
          <w:sz w:val="20"/>
          <w:u w:val="single"/>
        </w:rPr>
        <w:t>Section 3.4</w:t>
      </w:r>
      <w:r>
        <w:rPr>
          <w:rFonts w:ascii="Times New Roman" w:hAnsi="Times New Roman"/>
          <w:sz w:val="20"/>
        </w:rPr>
        <w:t xml:space="preserve">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 If so provided in the certificate of incorporation, the directors of the corporation shall be divided into classes. No person shall be eligible for election or appointment as a director unless such person has, within 10 days following any reasonable request therefor from the board of directors or any committee thereof, made himself or herself available to be interviewed by the board of directors (or any committee or other subset thereof) with respect to such person’s qualifications to serve as a director or any other matter relating to such person’s candidacy or service as a director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RESIGNATION AND VACANCIES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director may resign at any time upon notice given in writing or by electronic transmission to the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notice is given by electronic transmission, such electronic transmission must either set forth or be submitted with information from which it can be determined that the electronic transmission was authorized by the director. A resignation is effective when the resignation is delivered unless the resignation specifies a later effective date or an effective date determined upon the happening of an event or events.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certificate of incorporation or these bylaws, vacancies and newly created directorships resulting from any increase in the authorized number of directors elected by all of the stockholders having the right to vote as a single class shall be filled only by a majority of the directors then in office, although less than a quorum, or by a sole remaining director.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 or until such director’s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OF MEETINGS; MEETINGS BY TELEPHONE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hold meetings, both regular and special, either within or outside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REGULAR MEETINGS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Regular meetings of the board of directors may be held without notice at such time and at such place as shall from time to time be determined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MEETINGS; NOTICE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Special meetings of the board of directors for any purpose or purposes may be called at any time by the chairperson of the board of directors, the chief executive officer, the president, the lead independent director (if any), the secretary or a majority of the authorized number of directors, at such times and places as he or she or they shall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the time and place of special meetings shall be: </w:t>
      </w:r>
    </w:p>
    <w:p>
      <w:pPr>
        <w:pStyle w:val="TextBody"/>
        <w:bidi w:val="0"/>
        <w:spacing w:before="120" w:after="0"/>
        <w:jc w:val="left"/>
        <w:rPr>
          <w:rFonts w:ascii="Times New Roman" w:hAnsi="Times New Roman"/>
          <w:sz w:val="20"/>
        </w:rPr>
      </w:pPr>
      <w:r>
        <w:rPr>
          <w:rFonts w:ascii="Times New Roman" w:hAnsi="Times New Roman"/>
          <w:sz w:val="20"/>
        </w:rPr>
        <w:t xml:space="preserve">(i) delivered personally by hand, by courier or by telephone; </w:t>
      </w:r>
    </w:p>
    <w:p>
      <w:pPr>
        <w:pStyle w:val="TextBody"/>
        <w:bidi w:val="0"/>
        <w:spacing w:before="120" w:after="0"/>
        <w:jc w:val="left"/>
        <w:rPr>
          <w:rFonts w:ascii="Times New Roman" w:hAnsi="Times New Roman"/>
          <w:sz w:val="20"/>
        </w:rPr>
      </w:pPr>
      <w:r>
        <w:rPr>
          <w:rFonts w:ascii="Times New Roman" w:hAnsi="Times New Roman"/>
          <w:sz w:val="20"/>
        </w:rPr>
        <w:t xml:space="preserve">(ii) sent by United States first-class mail, postage prepaid; </w:t>
      </w:r>
    </w:p>
    <w:p>
      <w:pPr>
        <w:pStyle w:val="TextBody"/>
        <w:bidi w:val="0"/>
        <w:spacing w:before="120" w:after="0"/>
        <w:jc w:val="left"/>
        <w:rPr>
          <w:rFonts w:ascii="Times New Roman" w:hAnsi="Times New Roman"/>
          <w:sz w:val="20"/>
        </w:rPr>
      </w:pPr>
      <w:r>
        <w:rPr>
          <w:rFonts w:ascii="Times New Roman" w:hAnsi="Times New Roman"/>
          <w:sz w:val="20"/>
        </w:rPr>
        <w:t xml:space="preserve">(iii) sent by facsimile; </w:t>
      </w:r>
    </w:p>
    <w:p>
      <w:pPr>
        <w:pStyle w:val="TextBody"/>
        <w:bidi w:val="0"/>
        <w:spacing w:before="120" w:after="0"/>
        <w:jc w:val="left"/>
        <w:rPr>
          <w:rFonts w:ascii="Times New Roman" w:hAnsi="Times New Roman"/>
          <w:sz w:val="20"/>
        </w:rPr>
      </w:pPr>
      <w:r>
        <w:rPr>
          <w:rFonts w:ascii="Times New Roman" w:hAnsi="Times New Roman"/>
          <w:sz w:val="20"/>
        </w:rPr>
        <w:t xml:space="preserve">(iv) sent by electronic mail; or </w:t>
      </w:r>
    </w:p>
    <w:p>
      <w:pPr>
        <w:pStyle w:val="TextBody"/>
        <w:bidi w:val="0"/>
        <w:spacing w:before="120" w:after="0"/>
        <w:jc w:val="left"/>
        <w:rPr>
          <w:rFonts w:ascii="Times New Roman" w:hAnsi="Times New Roman"/>
          <w:sz w:val="20"/>
        </w:rPr>
      </w:pPr>
      <w:r>
        <w:rPr>
          <w:rFonts w:ascii="Times New Roman" w:hAnsi="Times New Roman"/>
          <w:sz w:val="20"/>
        </w:rPr>
        <w:t xml:space="preserve">(v) otherwise given by electronic transmission (as defined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directed to each director at that director’s address, telephone number, facsimile number, or electronic mail address or other contact for notice by electronic transmission, as the case may be, as shown on the corporation’s records. </w:t>
      </w:r>
    </w:p>
    <w:p>
      <w:pPr>
        <w:pStyle w:val="TextBody"/>
        <w:bidi w:val="0"/>
        <w:spacing w:before="240" w:after="0"/>
        <w:jc w:val="left"/>
        <w:rPr>
          <w:rFonts w:ascii="Times New Roman" w:hAnsi="Times New Roman"/>
          <w:sz w:val="20"/>
        </w:rPr>
      </w:pPr>
      <w:r>
        <w:rPr>
          <w:rFonts w:ascii="Times New Roman" w:hAnsi="Times New Roman"/>
          <w:sz w:val="20"/>
        </w:rPr>
        <w:t xml:space="preserve">If the notice is (i) delivered personally by hand, by courier or by telephone, (ii) sent by facsimile, (iii) sent by electronic mail or (iv) otherwise given by electronic transmission, it shall be delivered, sent or otherwise given to each director, as applicable, at least 24 hours before the time of the holding of the meeting; </w:t>
      </w:r>
      <w:r>
        <w:rPr>
          <w:rFonts w:ascii="Times New Roman" w:hAnsi="Times New Roman"/>
          <w:i/>
          <w:sz w:val="20"/>
        </w:rPr>
        <w:t>provided, however</w:t>
      </w:r>
      <w:r>
        <w:rPr>
          <w:rFonts w:ascii="Times New Roman" w:hAnsi="Times New Roman"/>
          <w:sz w:val="20"/>
        </w:rPr>
        <w:t xml:space="preserve">, that if the chairperson of the board of directors or the chief executive officer determines that it is otherwise necessary to hold the meeting sooner, the chairperson of the board of directors or the chief executive officer, as the case may be, may prescribe a shorter notice to be given in person or by telephone, facsimile, electronic mail, electronic transmission or any other similar means of communication.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QUORUM; VOTING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 </w:t>
      </w:r>
    </w:p>
    <w:p>
      <w:pPr>
        <w:pStyle w:val="TextBody"/>
        <w:bidi w:val="0"/>
        <w:spacing w:before="240" w:after="0"/>
        <w:jc w:val="left"/>
        <w:rPr>
          <w:rFonts w:ascii="Times New Roman" w:hAnsi="Times New Roman"/>
          <w:sz w:val="20"/>
        </w:rPr>
      </w:pPr>
      <w:r>
        <w:rPr>
          <w:rFonts w:ascii="Times New Roman" w:hAnsi="Times New Roman"/>
          <w:sz w:val="20"/>
        </w:rPr>
        <w:t xml:space="preserve">The vote of a majority of the directors present at any meeting at which a quorum is present shall be the act of the board of directors, except as may be otherwise specifically provided by statute, the certificate of incorporation or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ACTION BY WRITTEN CONSENT WITHOUT A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committee thereof, in the same paper or electronic form as the minutes are maintained.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3.10</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AND COMPENSATION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otherwise restricted by the certificate of incorporation or these bylaws, the board of directors shall have the authority to fix the compensation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3.11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certificate of incorporation and applicable law, a director or the entire board of directors may be removed from office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No reduction of the authorized number of directors shall have the effect of removing any director prior to the expiration of such director’s term of office.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 COMMITTEES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COMMITTEES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COMMITTEE MINUTES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committee shall keep regular minutes of its meetings and report the same to the board of directors when required.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MEETINGS AND ACTION OF 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Meetings and actions of committees shall be governed by, and held and taken in accordance with, the provisions of: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3.5</w:t>
      </w:r>
      <w:r>
        <w:rPr>
          <w:rFonts w:ascii="Times New Roman" w:hAnsi="Times New Roman"/>
          <w:sz w:val="20"/>
        </w:rPr>
        <w:t xml:space="preserve"> (place of meetings; meetings by telephone);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Section 3.6</w:t>
      </w:r>
      <w:r>
        <w:rPr>
          <w:rFonts w:ascii="Times New Roman" w:hAnsi="Times New Roman"/>
          <w:sz w:val="20"/>
        </w:rPr>
        <w:t xml:space="preserve"> (regular meetings);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Section 3.7</w:t>
      </w:r>
      <w:r>
        <w:rPr>
          <w:rFonts w:ascii="Times New Roman" w:hAnsi="Times New Roman"/>
          <w:sz w:val="20"/>
        </w:rPr>
        <w:t xml:space="preserve"> (special meetings; notice);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Section 3.8</w:t>
      </w:r>
      <w:r>
        <w:rPr>
          <w:rFonts w:ascii="Times New Roman" w:hAnsi="Times New Roman"/>
          <w:sz w:val="20"/>
        </w:rPr>
        <w:t xml:space="preserve"> (quorum; voting);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Section 3.9</w:t>
      </w:r>
      <w:r>
        <w:rPr>
          <w:rFonts w:ascii="Times New Roman" w:hAnsi="Times New Roman"/>
          <w:sz w:val="20"/>
        </w:rPr>
        <w:t xml:space="preserve"> (board action by written consent without a meeting); and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Section 7.4</w:t>
      </w:r>
      <w:r>
        <w:rPr>
          <w:rFonts w:ascii="Times New Roman" w:hAnsi="Times New Roman"/>
          <w:sz w:val="20"/>
        </w:rPr>
        <w:t xml:space="preserve"> (waiver of notice) </w:t>
      </w:r>
    </w:p>
    <w:p>
      <w:pPr>
        <w:pStyle w:val="TextBody"/>
        <w:bidi w:val="0"/>
        <w:spacing w:before="240" w:after="0"/>
        <w:jc w:val="left"/>
        <w:rPr>
          <w:rFonts w:ascii="Times New Roman" w:hAnsi="Times New Roman"/>
          <w:sz w:val="20"/>
        </w:rPr>
      </w:pPr>
      <w:r>
        <w:rPr>
          <w:rFonts w:ascii="Times New Roman" w:hAnsi="Times New Roman"/>
          <w:sz w:val="20"/>
        </w:rPr>
        <w:t xml:space="preserve">with such changes in the context of those bylaws as are necessary to substitute the committee and its members for the board of directors and its members. </w:t>
      </w:r>
      <w:r>
        <w:rPr>
          <w:rFonts w:ascii="Times New Roman" w:hAnsi="Times New Roman"/>
          <w:i/>
          <w:sz w:val="20"/>
        </w:rPr>
        <w:t>However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time of regular meetings of committees may be determined by resolution of the committee; </w:t>
      </w:r>
    </w:p>
    <w:p>
      <w:pPr>
        <w:pStyle w:val="TextBody"/>
        <w:bidi w:val="0"/>
        <w:spacing w:before="120" w:after="0"/>
        <w:jc w:val="left"/>
        <w:rPr>
          <w:rFonts w:ascii="Times New Roman" w:hAnsi="Times New Roman"/>
          <w:sz w:val="20"/>
        </w:rPr>
      </w:pPr>
      <w:r>
        <w:rPr>
          <w:rFonts w:ascii="Times New Roman" w:hAnsi="Times New Roman"/>
          <w:sz w:val="20"/>
        </w:rPr>
        <w:t xml:space="preserve">(ii) special meetings of committees may also be called by resolution of the committee; and </w:t>
      </w:r>
    </w:p>
    <w:p>
      <w:pPr>
        <w:pStyle w:val="TextBody"/>
        <w:bidi w:val="0"/>
        <w:spacing w:before="120" w:after="0"/>
        <w:jc w:val="left"/>
        <w:rPr>
          <w:rFonts w:ascii="Times New Roman" w:hAnsi="Times New Roman"/>
          <w:sz w:val="20"/>
        </w:rPr>
      </w:pPr>
      <w:r>
        <w:rPr>
          <w:rFonts w:ascii="Times New Roman" w:hAnsi="Times New Roman"/>
          <w:sz w:val="20"/>
        </w:rPr>
        <w:t xml:space="preserve">(iii) notice of special meetings of committees shall also be given to all alternate members, who shall have the right to attend all meetings of the committee. The board of directors may adopt rules for the government of any committee not inconsistent with the provisions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 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APPOINTMENT OF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shall appoint the officers of the corporation, except such officers as may be appointed in accordance with the provisions of </w:t>
      </w:r>
      <w:r>
        <w:rPr>
          <w:rFonts w:ascii="Times New Roman" w:hAnsi="Times New Roman"/>
          <w:sz w:val="20"/>
          <w:u w:val="single"/>
        </w:rPr>
        <w:t>Section 5.3</w:t>
      </w:r>
      <w:r>
        <w:rPr>
          <w:rFonts w:ascii="Times New Roman" w:hAnsi="Times New Roman"/>
          <w:sz w:val="20"/>
        </w:rPr>
        <w:t xml:space="preserve"> of these bylaws, subject to the rights, if any, of an officer under any contract of employment. A vacancy in any office because of death, resignation, removal, disqualification or any other cause shall be filled in the manner prescribed in this </w:t>
      </w:r>
      <w:r>
        <w:rPr>
          <w:rFonts w:ascii="Times New Roman" w:hAnsi="Times New Roman"/>
          <w:sz w:val="20"/>
          <w:u w:val="single"/>
        </w:rPr>
        <w:t>Section 5.2</w:t>
      </w:r>
      <w:r>
        <w:rPr>
          <w:rFonts w:ascii="Times New Roman" w:hAnsi="Times New Roman"/>
          <w:sz w:val="20"/>
        </w:rPr>
        <w:t xml:space="preserve"> for the regular election to such office.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SUBORDINATE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REMOVAL AND RESIGNATION OF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officer may resign at any time by giving written or electronic notice to the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VACANCIES IN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vacancy occurring in any office of the corporation shall be filled by the board of directors or as provided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 OF SECURITIES OF OTHER ENTITIES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the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DUTIES OF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CHAIRPERSON OF THE BOARD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chairperson of the board of directors shall have the powers and duties customarily and usually associated with the office of the chairperson of the board of directors. The chairperson of the board of directors shall preside at meetings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VICE CHAIRPERSON OF THE BOARD OF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vice chairperson of the board of directors shall have the powers and duties customarily and usually associated with the office of the vice chairperson of the board of directors. In the case of absence or disability of the chairperson of the board of directors, the vice chairperson of the board of directors shall perform the duties and exercise the powers of the chairperson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5.10</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chief executive officer shall have, subject to the supervision, direction and control of the board of directors, ultimate authority for decisions relating to the supervision, direction and management of the affairs and the business of the corporation customarily and usually associated with the position of chief executive officer, including, without limitation, all powers necessary to direct and control the organizational and reporting relationships within the corporation. If at any time the office of the chairperson and vice chairperson of the board of directors shall not be filled, or in the event of the temporary absence or disability of the chairperson of the board of directors and the vice chairperson of the board of directors, the chief executive officer shall perform the duties and exercise the powers of the chairperson of the board of directors unless otherwise determined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5.11</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PRESIDENT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president shall have, subject to the supervision, direction and control of the board of directors, the general powers and duties of supervision, direction and management of the affairs and business of the corporation customarily and usually associated with the position of president. The president shall have such powers and perform such duties as may from time to time be assigned to him or her by the board of directors, the chairperson of the board of directors or the chief executive officer. In the event of the absence or disability of the chief executive officer, the president shall perform the duties and exercise the powers of the chief executive officer unless otherwise determined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5.12</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VICE PRESIDENTS AND ASSISTANT VICE PRESIDENTS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vice president and assistant vice president shall have such powers and perform such duties as may from time to time be assigned to him or her by the board of directors, the chairperson of the board of directors, the chief executive officer or the president.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5.13</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SECRETARY AND ASSISTANT SECRETARIES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The secretary shall attend meetings of the board of directors and meetings of the stockholders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of directors, the chairperson of the board of directors, the chief executive officer or the president. </w:t>
      </w:r>
    </w:p>
    <w:p>
      <w:pPr>
        <w:pStyle w:val="TextBody"/>
        <w:bidi w:val="0"/>
        <w:spacing w:before="120" w:after="0"/>
        <w:jc w:val="left"/>
        <w:rPr>
          <w:rFonts w:ascii="Times New Roman" w:hAnsi="Times New Roman"/>
          <w:sz w:val="20"/>
        </w:rPr>
      </w:pPr>
      <w:r>
        <w:rPr>
          <w:rFonts w:ascii="Times New Roman" w:hAnsi="Times New Roman"/>
          <w:sz w:val="20"/>
        </w:rPr>
        <w:t xml:space="preserve">(ii) Each assistant secretary shall have such powers and perform such duties as may from time to time be assigned to him or her by the board of directors, the chairperson of the board of directors, the chief executive officer, the president or the secretary. In the event of the absence, inability or refusal to act of the secretary, the assistant secretary (or if there shall be more than one, the assistant secretaries in the order determined by the board of directors) shall perform the duties and exercise the powers of the secretary.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5.14</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FINANCIAL OFFICER AND ASSISTANT TREASURERS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The chief financial officer shall be the treasurer of the corporation. The chief financial officer shall have custody of the corporation’s funds and securities, shall be responsible for maintaining the corporation’s accounting records and statements,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of directors. The chief financial officer shall also maintain adequate records of all assets, liabilities and transactions of the corporation and shall assure that adequate audits thereof are currently and regularly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chief financial officer shall have all such further powers and duties as are customarily and usually associated with the position of chief financial officer, or as may from time to time be assigned to him or her by the board of directors, the chairperson, the chief executive officer or the president. </w:t>
      </w:r>
    </w:p>
    <w:p>
      <w:pPr>
        <w:pStyle w:val="TextBody"/>
        <w:bidi w:val="0"/>
        <w:spacing w:before="120" w:after="0"/>
        <w:jc w:val="left"/>
        <w:rPr>
          <w:rFonts w:ascii="Times New Roman" w:hAnsi="Times New Roman"/>
          <w:sz w:val="20"/>
        </w:rPr>
      </w:pPr>
      <w:r>
        <w:rPr>
          <w:rFonts w:ascii="Times New Roman" w:hAnsi="Times New Roman"/>
          <w:sz w:val="20"/>
        </w:rPr>
        <w:t xml:space="preserve">(ii) Each assistant treasurer shall have such powers and perform such duties as may from time to time be assigned to him or her by the board of directors, the chief executive officer, the president or the chief financial officer. In the event of the absence, inability or refusal to act of the chief financial officer, the assistant treasurer (or if there shall be more than one, the assistant treasurers in the order determined by the board of directors) shall perform the duties and exercise the powers of the chief financial officer.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CERTIFICATES; PARTLY PAID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 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DESIGNATION ON CERTIFICATES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otherwise provided in Section 202 of the DGCL,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w:t>
      </w:r>
      <w:r>
        <w:rPr>
          <w:rFonts w:ascii="Times New Roman" w:hAnsi="Times New Roman"/>
          <w:sz w:val="20"/>
          <w:u w:val="single"/>
        </w:rPr>
        <w:t>Section 6.2</w:t>
      </w:r>
      <w:r>
        <w:rPr>
          <w:rFonts w:ascii="Times New Roman" w:hAnsi="Times New Roman"/>
          <w:sz w:val="20"/>
        </w:rPr>
        <w:t xml:space="preserve"> or Sections 156, 202(a) or 218(a) of the DGCL or with respect to this </w:t>
      </w:r>
      <w:r>
        <w:rPr>
          <w:rFonts w:ascii="Times New Roman" w:hAnsi="Times New Roman"/>
          <w:sz w:val="20"/>
          <w:u w:val="single"/>
        </w:rPr>
        <w:t>Section 6.2</w:t>
      </w:r>
      <w:r>
        <w:rPr>
          <w:rFonts w:ascii="Times New Roman" w:hAnsi="Times New Roman"/>
          <w:sz w:val="20"/>
        </w:rPr>
        <w:t xml:space="preserv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STOLEN OR DESTROYED CERTIFICATES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provided in this </w:t>
      </w:r>
      <w:r>
        <w:rPr>
          <w:rFonts w:ascii="Times New Roman" w:hAnsi="Times New Roman"/>
          <w:sz w:val="20"/>
          <w:u w:val="single"/>
        </w:rPr>
        <w:t>Section 6.3</w:t>
      </w:r>
      <w:r>
        <w:rPr>
          <w:rFonts w:ascii="Times New Roman" w:hAnsi="Times New Roman"/>
          <w:sz w:val="20"/>
        </w:rPr>
        <w:t xml:space="preserve">,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OF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succession, assignment or authority to transfer is not prohibited by the certificate of incorporation, these bylaws, applicable law or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TRANSFER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STOCKHOLDERS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 shall be entitled to recognize the exclusive right of a person registered on its books as the owner of shares to receive dividends and to vote as such owner; </w:t>
      </w:r>
    </w:p>
    <w:p>
      <w:pPr>
        <w:pStyle w:val="TextBody"/>
        <w:bidi w:val="0"/>
        <w:spacing w:before="120" w:after="0"/>
        <w:jc w:val="left"/>
        <w:rPr>
          <w:rFonts w:ascii="Times New Roman" w:hAnsi="Times New Roman"/>
          <w:sz w:val="20"/>
        </w:rPr>
      </w:pPr>
      <w:r>
        <w:rPr>
          <w:rFonts w:ascii="Times New Roman" w:hAnsi="Times New Roman"/>
          <w:sz w:val="20"/>
        </w:rPr>
        <w:t xml:space="preserve">(ii) shall be entitled to hold liable for calls and assessments the person registered on its books as the owner of shares; and </w:t>
      </w:r>
    </w:p>
    <w:p>
      <w:pPr>
        <w:pStyle w:val="TextBody"/>
        <w:bidi w:val="0"/>
        <w:spacing w:before="120" w:after="0"/>
        <w:jc w:val="left"/>
        <w:rPr>
          <w:rFonts w:ascii="Times New Roman" w:hAnsi="Times New Roman"/>
          <w:sz w:val="20"/>
        </w:rPr>
      </w:pPr>
      <w:r>
        <w:rPr>
          <w:rFonts w:ascii="Times New Roman" w:hAnsi="Times New Roman"/>
          <w:sz w:val="20"/>
        </w:rPr>
        <w:t xml:space="preserve">(iii) shall not be bound to recognize any equitable or other claim to or interest in such share or shares on the part of another person, whether or not it shall have express or other notice thereof, except as otherwise provided by the laws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 MANNER OF GIVING NOTICE AND WAIVER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STOCKHOLDERS’ MEETINGS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Notice of any meeting of stockholders shall be given in the manner set forth in the DGCL.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STOCKHOLDERS SHARING AN ADDRESS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PERSON WITH WHOM COMMUNICATION IS UNLAWFUL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WAIVER OF NOTICE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Whenever notice is required to be given to stockholders, directors or other persons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 INDEMNIFICATION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OF DIRECTORS AND OFFICERS IN THIRD PARTY PROCEEDINGS </w:t>
            </w:r>
          </w:p>
        </w:tc>
      </w:tr>
    </w:tbl>
    <w:p>
      <w:pPr>
        <w:pStyle w:val="TextBody"/>
        <w:bidi w:val="0"/>
        <w:spacing w:before="120" w:after="0"/>
        <w:jc w:val="left"/>
        <w:rPr>
          <w:rFonts w:ascii="Times New Roman" w:hAnsi="Times New Roman"/>
          <w:sz w:val="20"/>
        </w:rPr>
      </w:pPr>
      <w:r>
        <w:rPr>
          <w:rFonts w:ascii="Times New Roman" w:hAnsi="Times New Roman"/>
          <w:sz w:val="20"/>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hAnsi="Times New Roman"/>
          <w:b/>
          <w:sz w:val="20"/>
        </w:rPr>
        <w:t>Proceeding</w:t>
      </w:r>
      <w:r>
        <w:rPr>
          <w:rFonts w:ascii="Times New Roman" w:hAnsi="Times New Roman"/>
          <w:sz w:val="20"/>
        </w:rPr>
        <w:t xml:space="preserve">”) (other than an action by or in the right of the corporation) by reason of the fact that such person is or was a director of the corporation or an officer of the corporation, or while a director of the corporation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Times New Roman" w:hAnsi="Times New Roman"/>
          <w:i/>
          <w:sz w:val="20"/>
        </w:rPr>
        <w:t>nolo contendere</w:t>
      </w:r>
      <w:r>
        <w:rPr>
          <w:rFonts w:ascii="Times New Roman" w:hAnsi="Times New Roman"/>
          <w:sz w:val="20"/>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OF DIRECTORS AND OFFICERS IN ACTIONS BY OR IN THE RIGHT OF THE CORPORATION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DEFENSE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that a present or former director or officer of the corporation has been successful on the merits or otherwise in defense of any action, suit or proceeding described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or in defense of any claim, issue or matter therein, such person shall be indemnified against expenses (including attorneys’ fees) actually and reasonably incurred by such person in connection therewith.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OF OTHERS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other provisions of this Article VIII, the corporation shall have power to indemnify its employees and its agents to the extent not prohibited by the DGCL or other applicable law. The board of directors shall have the power to delegate the determination of whether employees or agents shall be indemnified to such person or persons as the board of directors so determines.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ADVANCED PAYMENT OF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Expenses (including attorneys’ fees)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incurred by former directors and officers or other employees and agents may be so paid upon such terms and conditions, if any, as the corporation deems reasonably appropriate and shall be subject to the corporation’s expense guidelines. The right to advancement of expenses shall not apply to any claim for which indemnity is excluded pursuant to these bylaws, but shall apply to any Proceeding referenced in </w:t>
      </w:r>
      <w:r>
        <w:rPr>
          <w:rFonts w:ascii="Times New Roman" w:hAnsi="Times New Roman"/>
          <w:sz w:val="20"/>
          <w:u w:val="single"/>
        </w:rPr>
        <w:t>Section 8.6(ii)</w:t>
      </w:r>
      <w:r>
        <w:rPr>
          <w:rFonts w:ascii="Times New Roman" w:hAnsi="Times New Roman"/>
          <w:sz w:val="20"/>
        </w:rPr>
        <w:t xml:space="preserve"> or </w:t>
      </w:r>
      <w:r>
        <w:rPr>
          <w:rFonts w:ascii="Times New Roman" w:hAnsi="Times New Roman"/>
          <w:sz w:val="20"/>
          <w:u w:val="single"/>
        </w:rPr>
        <w:t>8.6(iii)</w:t>
      </w:r>
      <w:r>
        <w:rPr>
          <w:rFonts w:ascii="Times New Roman" w:hAnsi="Times New Roman"/>
          <w:sz w:val="20"/>
        </w:rPr>
        <w:t xml:space="preserve"> prior to a determination that the person is not entitled to be indemnified by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 ON INDEMNIFICATION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the requirements in </w:t>
      </w:r>
      <w:r>
        <w:rPr>
          <w:rFonts w:ascii="Times New Roman" w:hAnsi="Times New Roman"/>
          <w:sz w:val="20"/>
          <w:u w:val="single"/>
        </w:rPr>
        <w:t>Section 8.3</w:t>
      </w:r>
      <w:r>
        <w:rPr>
          <w:rFonts w:ascii="Times New Roman" w:hAnsi="Times New Roman"/>
          <w:sz w:val="20"/>
        </w:rPr>
        <w:t xml:space="preserve"> and the DGCL, the corporation shall not be obligated to indemnify any person pursuant to this Article VIII in connection with any Proceeding (or any part of any Proceeding): </w:t>
      </w:r>
    </w:p>
    <w:p>
      <w:pPr>
        <w:pStyle w:val="TextBody"/>
        <w:bidi w:val="0"/>
        <w:spacing w:before="120" w:after="0"/>
        <w:jc w:val="left"/>
        <w:rPr>
          <w:rFonts w:ascii="Times New Roman" w:hAnsi="Times New Roman"/>
          <w:sz w:val="20"/>
        </w:rPr>
      </w:pPr>
      <w:r>
        <w:rPr>
          <w:rFonts w:ascii="Times New Roman" w:hAnsi="Times New Roman"/>
          <w:sz w:val="20"/>
        </w:rPr>
        <w:t xml:space="preserve">(i) for which payment has actually been made to or on behalf of such person under any statute, insurance policy, indemnity provision, vote or otherwise, except with respect to any excess beyond the amount paid; </w:t>
      </w:r>
    </w:p>
    <w:p>
      <w:pPr>
        <w:pStyle w:val="TextBody"/>
        <w:bidi w:val="0"/>
        <w:spacing w:before="120" w:after="0"/>
        <w:jc w:val="left"/>
        <w:rPr>
          <w:rFonts w:ascii="Times New Roman" w:hAnsi="Times New Roman"/>
          <w:sz w:val="20"/>
        </w:rPr>
      </w:pPr>
      <w:r>
        <w:rPr>
          <w:rFonts w:ascii="Times New Roman" w:hAnsi="Times New Roman"/>
          <w:sz w:val="20"/>
        </w:rPr>
        <w:t xml:space="preserve">(ii) for an accounting or disgorgement of profits pursuant to Section 16(b) of the 1934 Act, or similar provisions of federal, state or local statutory law or common law, if such person is held liable therefor (including pursuant to any settlement arrangements); </w:t>
      </w:r>
    </w:p>
    <w:p>
      <w:pPr>
        <w:pStyle w:val="TextBody"/>
        <w:bidi w:val="0"/>
        <w:spacing w:before="120" w:after="0"/>
        <w:jc w:val="left"/>
        <w:rPr>
          <w:rFonts w:ascii="Times New Roman" w:hAnsi="Times New Roman"/>
          <w:sz w:val="20"/>
        </w:rPr>
      </w:pPr>
      <w:r>
        <w:rPr>
          <w:rFonts w:ascii="Times New Roman" w:hAnsi="Times New Roman"/>
          <w:sz w:val="20"/>
        </w:rPr>
        <w:t>(iii) for any reimbursement of the corporation by such person of any bonus or other incentive-based or equity-based compensation or of any profits realized by such person from the sale of securities of the corporation, in either case as required under any clawback or compensation recovery policy adopted by the corporation, applicable securities exchange and association listing requirements, including, without limitation, those adopted in accordance with Rule 10D-1 under the 1934 Act and/or the 1934 Act (including, without limitation, any such reimbursements that arise from an accounting restatement of the corporation pursuant to Section 304 of the Sarbanes-Oxley Act of 2002 (the “</w:t>
      </w:r>
      <w:r>
        <w:rPr>
          <w:rFonts w:ascii="Times New Roman" w:hAnsi="Times New Roman"/>
          <w:b/>
          <w:sz w:val="20"/>
        </w:rPr>
        <w:t>Sarbanes-Oxley Act</w:t>
      </w:r>
      <w:r>
        <w:rPr>
          <w:rFonts w:ascii="Times New Roman" w:hAnsi="Times New Roman"/>
          <w:sz w:val="20"/>
        </w:rPr>
        <w:t xml:space="preserve">”), or the payment to the corporation of profits arising from the purchase and sale by such person of securities in violation of Section 306 of the Sarbanes-Oxley Act), if such person is held liable therefor (including pursuant to any settlement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(iv)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w:t>
      </w:r>
      <w:r>
        <w:rPr>
          <w:rFonts w:ascii="Times New Roman" w:hAnsi="Times New Roman"/>
          <w:sz w:val="20"/>
          <w:u w:val="single"/>
        </w:rPr>
        <w:t>Section 8.7</w:t>
      </w:r>
      <w:r>
        <w:rPr>
          <w:rFonts w:ascii="Times New Roman" w:hAnsi="Times New Roman"/>
          <w:sz w:val="20"/>
        </w:rPr>
        <w:t xml:space="preserve"> or (d) otherwise required by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(v) if prohibited by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provision or provisions of this Article VIII shall be held to be invalid, illegal or unenforceable for any reason whatsoever: (1) the validity, legality and enforceability of the remaining provisions of this Article VIII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VIII (including, without limitation, each such portion of any paragraph or clause containing any such provision held to be invalid, illegal or unenforceable) shall be construed so as to give effect to the intent manifested by the provision held invalid, illegal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DETERMINATION; CLAIM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NON-EXCLUSIVITY OF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6"/>
        <w:gridCol w:w="9739"/>
      </w:tblGrid>
      <w:tr>
        <w:trPr/>
        <w:tc>
          <w:tcPr>
            <w:tcW w:w="466" w:type="dxa"/>
            <w:tcBorders/>
          </w:tcPr>
          <w:p>
            <w:pPr>
              <w:pStyle w:val="TableContents"/>
              <w:bidi w:val="0"/>
              <w:spacing w:before="0" w:after="283"/>
              <w:jc w:val="left"/>
              <w:rPr/>
            </w:pPr>
            <w:r>
              <w:rPr/>
              <w:t>8.10</w:t>
            </w:r>
          </w:p>
        </w:tc>
        <w:tc>
          <w:tcPr>
            <w:tcW w:w="97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SURVIVAL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rights to indemnification and advancement of expenses conferred by this Article VIII shall continue as to a person who has ceased to be a director, officer, employee or agent and shall inure to the benefit of the heirs, executors and administrators of such a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
        <w:gridCol w:w="9747"/>
      </w:tblGrid>
      <w:tr>
        <w:trPr/>
        <w:tc>
          <w:tcPr>
            <w:tcW w:w="458" w:type="dxa"/>
            <w:tcBorders/>
          </w:tcPr>
          <w:p>
            <w:pPr>
              <w:pStyle w:val="TableContents"/>
              <w:bidi w:val="0"/>
              <w:spacing w:before="0" w:after="283"/>
              <w:jc w:val="left"/>
              <w:rPr/>
            </w:pPr>
            <w:r>
              <w:rPr/>
              <w:t>8.11</w:t>
            </w:r>
          </w:p>
        </w:tc>
        <w:tc>
          <w:tcPr>
            <w:tcW w:w="97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REPEAL OR MODIFICATION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amendment, alteration or repeal of this Article VIII shall not adversely affect any right or protection hereunder of any person in respect of any act or omission occurring prior to such amendment, alteration or repeal.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8.12</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DEFINITIONS </w:t>
            </w:r>
          </w:p>
        </w:tc>
      </w:tr>
    </w:tbl>
    <w:p>
      <w:pPr>
        <w:pStyle w:val="TextBody"/>
        <w:bidi w:val="0"/>
        <w:spacing w:before="120" w:after="0"/>
        <w:jc w:val="left"/>
        <w:rPr>
          <w:rFonts w:ascii="Times New Roman" w:hAnsi="Times New Roman"/>
          <w:sz w:val="20"/>
        </w:rPr>
      </w:pPr>
      <w:r>
        <w:rPr>
          <w:rFonts w:ascii="Times New Roman" w:hAnsi="Times New Roman"/>
          <w:sz w:val="20"/>
        </w:rPr>
        <w:t>For purposes of this Article VIII, references to the “</w:t>
      </w:r>
      <w:r>
        <w:rPr>
          <w:rFonts w:ascii="Times New Roman" w:hAnsi="Times New Roman"/>
          <w:b/>
          <w:sz w:val="20"/>
        </w:rPr>
        <w:t>corporation</w:t>
      </w:r>
      <w:r>
        <w:rPr>
          <w:rFonts w:ascii="Times New Roman" w:hAnsi="Times New Roman"/>
          <w:sz w:val="20"/>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Times New Roman" w:hAnsi="Times New Roman"/>
          <w:b/>
          <w:sz w:val="20"/>
        </w:rPr>
        <w:t>other enterprises</w:t>
      </w:r>
      <w:r>
        <w:rPr>
          <w:rFonts w:ascii="Times New Roman" w:hAnsi="Times New Roman"/>
          <w:sz w:val="20"/>
        </w:rPr>
        <w:t>” shall include employee benefit plans; references to “</w:t>
      </w:r>
      <w:r>
        <w:rPr>
          <w:rFonts w:ascii="Times New Roman" w:hAnsi="Times New Roman"/>
          <w:b/>
          <w:sz w:val="20"/>
        </w:rPr>
        <w:t>fines</w:t>
      </w:r>
      <w:r>
        <w:rPr>
          <w:rFonts w:ascii="Times New Roman" w:hAnsi="Times New Roman"/>
          <w:sz w:val="20"/>
        </w:rPr>
        <w:t>” shall include any excise taxes assessed on a person with respect to an employee benefit plan; and references to “</w:t>
      </w:r>
      <w:r>
        <w:rPr>
          <w:rFonts w:ascii="Times New Roman" w:hAnsi="Times New Roman"/>
          <w:b/>
          <w:sz w:val="20"/>
        </w:rPr>
        <w:t>serving at the request of the corporation</w:t>
      </w:r>
      <w:r>
        <w:rPr>
          <w:rFonts w:ascii="Times New Roman" w:hAnsi="Times New Roman"/>
          <w:sz w:val="20"/>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hAnsi="Times New Roman"/>
          <w:b/>
          <w:sz w:val="20"/>
        </w:rPr>
        <w:t>not opposed to the best interests of the corporation</w:t>
      </w:r>
      <w:r>
        <w:rPr>
          <w:rFonts w:ascii="Times New Roman" w:hAnsi="Times New Roman"/>
          <w:sz w:val="20"/>
        </w:rPr>
        <w:t xml:space="preserve">” as referred to in this Article VIII.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 GENERAL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EXECUTION OF CORPORATE CONTRACTS AND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fiscal year of the corporation shall be fixed by resolution of the board of directors and may be changed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corporation may adopt a corporate seal, which shall be adopted and which may be altered by the board of directors. The corporation may use the corporate seal by causing it or a facsimile thereof to be impressed or affixed or in any other manner reproduced.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any provision of these bylaws would be, in the absence of this </w:t>
      </w:r>
      <w:r>
        <w:rPr>
          <w:rFonts w:ascii="Times New Roman" w:hAnsi="Times New Roman"/>
          <w:sz w:val="20"/>
          <w:u w:val="single"/>
        </w:rPr>
        <w:t>Section 9.4</w:t>
      </w:r>
      <w:r>
        <w:rPr>
          <w:rFonts w:ascii="Times New Roman" w:hAnsi="Times New Roman"/>
          <w:sz w:val="20"/>
        </w:rPr>
        <w:t xml:space="preserve">, invalid, illegal or unenforceable for any reason whatsoever, such provision shall be severable from the other provisions of these bylaws, and all provisions of these bylaws shall be construed so as to give effect to the intent manifested by these bylaws, including, to the maximum extent possible, the provision that would be otherwise invalid, illegal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CONSTRUCTION; DEFINITIONS </w:t>
            </w:r>
          </w:p>
        </w:tc>
      </w:tr>
    </w:tbl>
    <w:p>
      <w:pPr>
        <w:pStyle w:val="TextBody"/>
        <w:bidi w:val="0"/>
        <w:spacing w:before="120" w:after="0"/>
        <w:jc w:val="left"/>
        <w:rPr>
          <w:rFonts w:ascii="Times New Roman" w:hAnsi="Times New Roman"/>
          <w:sz w:val="20"/>
        </w:rPr>
      </w:pPr>
      <w:r>
        <w:rPr>
          <w:rFonts w:ascii="Times New Roman" w:hAnsi="Times New Roman"/>
          <w:sz w:val="20"/>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hAnsi="Times New Roman"/>
          <w:b/>
          <w:sz w:val="20"/>
        </w:rPr>
        <w:t>person</w:t>
      </w:r>
      <w:r>
        <w:rPr>
          <w:rFonts w:ascii="Times New Roman" w:hAnsi="Times New Roman"/>
          <w:sz w:val="20"/>
        </w:rPr>
        <w:t xml:space="preserve">” includes both an entity and a natural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FORUM FOR CERTAIN 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Unless a majority of the board of directors,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to the fullest extent permitted by law, shall be the sole and exclusive forum for (A) any derivative action or proceeding brought on behalf of the corporation, (B) any action asserting a claim of breach of a fiduciary duty owed by any current or former director, officer or other employee of the corporation to the corporation or the corporation’s stockholders, (C) any action asserting a claim against the corporation or any of its current or former directors, officers or other employees arising pursuant to any provision of the DGCL, these bylaws or the certificate of incorporation (in each case, as may be amended from time to time), (D) any action asserting a claim against the corporation or any of its current or former directors, officers or other employees governed by the internal affairs doctrine of the State of Delaware, or (E) any other action asserting an “internal corporate claim,” as defined in Section 115 of the DGCL, in all cases subject to the court’s having personal jurisdiction over all indispensable parties named as defendants. Unless a majority of the board of directors, acting on behalf of the corporation, consents in writing to the selection of an alternative forum (which consent may be given at any time, including during the pendency of litigation), the federal district courts of the United States of America, to the fullest extent permitted by law, shall be the sole and exclusive forum for the resolution of any action asserting a cause of action arising under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 xml:space="preserve">(ii) If any action the subject matter of which is within the scope of the first sentence of </w:t>
      </w:r>
      <w:r>
        <w:rPr>
          <w:rFonts w:ascii="Times New Roman" w:hAnsi="Times New Roman"/>
          <w:sz w:val="20"/>
          <w:u w:val="single"/>
        </w:rPr>
        <w:t>Section 9.6(i)</w:t>
      </w:r>
      <w:r>
        <w:rPr>
          <w:rFonts w:ascii="Times New Roman" w:hAnsi="Times New Roman"/>
          <w:sz w:val="20"/>
        </w:rPr>
        <w:t xml:space="preserve"> above is filed in a court other than a court located within the State of Delaware or if any action the subject matter of which is within the scope of the second sentence of </w:t>
      </w:r>
      <w:r>
        <w:rPr>
          <w:rFonts w:ascii="Times New Roman" w:hAnsi="Times New Roman"/>
          <w:sz w:val="20"/>
          <w:u w:val="single"/>
        </w:rPr>
        <w:t>Section 9.6(i)</w:t>
      </w:r>
      <w:r>
        <w:rPr>
          <w:rFonts w:ascii="Times New Roman" w:hAnsi="Times New Roman"/>
          <w:sz w:val="20"/>
        </w:rPr>
        <w:t xml:space="preserve"> above is filed in a court other than the federal district courts of the United States of America (either such case being, a “</w:t>
      </w:r>
      <w:r>
        <w:rPr>
          <w:rFonts w:ascii="Times New Roman" w:hAnsi="Times New Roman"/>
          <w:b/>
          <w:sz w:val="20"/>
        </w:rPr>
        <w:t>Foreign Action</w:t>
      </w:r>
      <w:r>
        <w:rPr>
          <w:rFonts w:ascii="Times New Roman" w:hAnsi="Times New Roman"/>
          <w:sz w:val="20"/>
        </w:rPr>
        <w:t xml:space="preserve">”) in the name of any stockholder, such stockholder shall be deemed to have consented to (A) the personal jurisdiction of the state and federal courts located within the State of Delaware in connection with any action brought in any such court to enforce the first sentence of </w:t>
      </w:r>
      <w:r>
        <w:rPr>
          <w:rFonts w:ascii="Times New Roman" w:hAnsi="Times New Roman"/>
          <w:sz w:val="20"/>
          <w:u w:val="single"/>
        </w:rPr>
        <w:t>Section 9.6(i)</w:t>
      </w:r>
      <w:r>
        <w:rPr>
          <w:rFonts w:ascii="Times New Roman" w:hAnsi="Times New Roman"/>
          <w:sz w:val="20"/>
        </w:rPr>
        <w:t xml:space="preserve"> above and the personal jurisdiction of the federal district courts of the United States of America in connection with any action brought in any such court to enforce the second sentence of </w:t>
      </w:r>
      <w:r>
        <w:rPr>
          <w:rFonts w:ascii="Times New Roman" w:hAnsi="Times New Roman"/>
          <w:sz w:val="20"/>
          <w:u w:val="single"/>
        </w:rPr>
        <w:t>Section 9.6(i)</w:t>
      </w:r>
      <w:r>
        <w:rPr>
          <w:rFonts w:ascii="Times New Roman" w:hAnsi="Times New Roman"/>
          <w:sz w:val="20"/>
        </w:rPr>
        <w:t xml:space="preserve"> above (an “</w:t>
      </w:r>
      <w:r>
        <w:rPr>
          <w:rFonts w:ascii="Times New Roman" w:hAnsi="Times New Roman"/>
          <w:b/>
          <w:sz w:val="20"/>
        </w:rPr>
        <w:t>Enforcement Action</w:t>
      </w:r>
      <w:r>
        <w:rPr>
          <w:rFonts w:ascii="Times New Roman" w:hAnsi="Times New Roman"/>
          <w:sz w:val="20"/>
        </w:rPr>
        <w:t xml:space="preserve">”) and (B) having service of process made upon such stockholder in any such Enforcement Action by service upon such stockholder’s counsel in the Foreign Action as agent for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any provision of this </w:t>
      </w:r>
      <w:r>
        <w:rPr>
          <w:rFonts w:ascii="Times New Roman" w:hAnsi="Times New Roman"/>
          <w:sz w:val="20"/>
          <w:u w:val="single"/>
        </w:rPr>
        <w:t>Section 9.6</w:t>
      </w:r>
      <w:r>
        <w:rPr>
          <w:rFonts w:ascii="Times New Roman" w:hAnsi="Times New Roman"/>
          <w:sz w:val="20"/>
        </w:rPr>
        <w:t xml:space="preserve">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Times New Roman" w:hAnsi="Times New Roman"/>
          <w:sz w:val="20"/>
          <w:u w:val="single"/>
        </w:rPr>
        <w:t>Section 9.6</w:t>
      </w:r>
      <w:r>
        <w:rPr>
          <w:rFonts w:ascii="Times New Roman" w:hAnsi="Times New Roman"/>
          <w:sz w:val="20"/>
        </w:rPr>
        <w:t xml:space="preserve">, and the application of such provision to other persons or entities and circumstances shall not in any way be affected or impaired thereby. </w:t>
      </w:r>
    </w:p>
    <w:p>
      <w:pPr>
        <w:pStyle w:val="TextBody"/>
        <w:bidi w:val="0"/>
        <w:spacing w:before="120" w:after="0"/>
        <w:jc w:val="left"/>
        <w:rPr>
          <w:rFonts w:ascii="Times New Roman" w:hAnsi="Times New Roman"/>
          <w:sz w:val="20"/>
        </w:rPr>
      </w:pPr>
      <w:r>
        <w:rPr>
          <w:rFonts w:ascii="Times New Roman" w:hAnsi="Times New Roman"/>
          <w:sz w:val="20"/>
        </w:rPr>
        <w:t xml:space="preserve">(iv) For the avoidance of doubt, any person or entity purchasing or otherwise acquiring or holding any interest in any security of the corporation shall be deemed to have notice of and consented to the provisions of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 AMENDMENTS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adopted, amended or repealed by the stockholders entitled to vote;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and </w:t>
      </w:r>
      <w:r>
        <w:rPr>
          <w:rFonts w:ascii="Times New Roman" w:hAnsi="Times New Roman"/>
          <w:sz w:val="20"/>
          <w:u w:val="single"/>
        </w:rPr>
        <w:t>3.11</w:t>
      </w:r>
      <w:r>
        <w:rPr>
          <w:rFonts w:ascii="Times New Roman" w:hAnsi="Times New Roman"/>
          <w:sz w:val="20"/>
        </w:rPr>
        <w:t xml:space="preserve">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bylaw amendment adopted by stockholders which specifies the votes that shall be necessary for the election of directors shall not be further amended or repealed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TextBody"/>
        <w:bidi w:val="0"/>
        <w:spacing w:before="0" w:after="0"/>
        <w:jc w:val="right"/>
        <w:rPr>
          <w:rFonts w:ascii="Times New Roman" w:hAnsi="Times New Roman"/>
          <w:b/>
          <w:sz w:val="20"/>
        </w:rPr>
      </w:pPr>
      <w:bookmarkStart w:id="4" w:name="d180372dex101.htm"/>
      <w:bookmarkStart w:id="5" w:name="ksd180372dex101"/>
      <w:bookmarkEnd w:id="4"/>
      <w:bookmarkEnd w:id="5"/>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Palo Alto Networks,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Executive Change in Control and Severance Policy </w:t>
      </w:r>
    </w:p>
    <w:p>
      <w:pPr>
        <w:pStyle w:val="TextBody"/>
        <w:bidi w:val="0"/>
        <w:spacing w:before="240" w:after="0"/>
        <w:jc w:val="center"/>
        <w:rPr>
          <w:rFonts w:ascii="Times New Roman" w:hAnsi="Times New Roman"/>
          <w:b/>
          <w:sz w:val="20"/>
        </w:rPr>
      </w:pPr>
      <w:r>
        <w:rPr>
          <w:rFonts w:ascii="Times New Roman" w:hAnsi="Times New Roman"/>
          <w:b/>
          <w:sz w:val="20"/>
        </w:rPr>
        <w:t xml:space="preserve">Effective as of August 20, 2026 (the “Effective Date”) </w:t>
      </w:r>
    </w:p>
    <w:p>
      <w:pPr>
        <w:pStyle w:val="TextBody"/>
        <w:bidi w:val="0"/>
        <w:spacing w:before="240" w:after="0"/>
        <w:jc w:val="left"/>
        <w:rPr>
          <w:rFonts w:ascii="Times New Roman" w:hAnsi="Times New Roman"/>
          <w:sz w:val="20"/>
        </w:rPr>
      </w:pPr>
      <w:r>
        <w:rPr>
          <w:rFonts w:ascii="Times New Roman" w:hAnsi="Times New Roman"/>
          <w:sz w:val="20"/>
        </w:rPr>
        <w:t>This Executive Change in Control and Severance Policy (the “</w:t>
      </w:r>
      <w:r>
        <w:rPr>
          <w:rFonts w:ascii="Times New Roman" w:hAnsi="Times New Roman"/>
          <w:b/>
          <w:sz w:val="20"/>
        </w:rPr>
        <w:t>Policy</w:t>
      </w:r>
      <w:r>
        <w:rPr>
          <w:rFonts w:ascii="Times New Roman" w:hAnsi="Times New Roman"/>
          <w:sz w:val="20"/>
        </w:rPr>
        <w:t>”) is designed to provide certain protections to a select group of key members of senior management of Palo Alto Networks, Inc. (the “</w:t>
      </w:r>
      <w:r>
        <w:rPr>
          <w:rFonts w:ascii="Times New Roman" w:hAnsi="Times New Roman"/>
          <w:b/>
          <w:sz w:val="20"/>
        </w:rPr>
        <w:t>Company</w:t>
      </w:r>
      <w:r>
        <w:rPr>
          <w:rFonts w:ascii="Times New Roman" w:hAnsi="Times New Roman"/>
          <w:sz w:val="20"/>
        </w:rPr>
        <w:t>”) or any of its subsidiaries in connection with a change in control of the Company or in connection with the involuntary termination of their employment under the circumstances described in the Policy. The Policy is designed to be an “employee welfare benefit plan” under Section 3(1) of the Employee Retirement Income Security Act of 1974, as amended (“</w:t>
      </w:r>
      <w:r>
        <w:rPr>
          <w:rFonts w:ascii="Times New Roman" w:hAnsi="Times New Roman"/>
          <w:b/>
          <w:sz w:val="20"/>
        </w:rPr>
        <w:t>ERISA</w:t>
      </w:r>
      <w:r>
        <w:rPr>
          <w:rFonts w:ascii="Times New Roman" w:hAnsi="Times New Roman"/>
          <w:sz w:val="20"/>
        </w:rPr>
        <w:t xml:space="preserve">”), and Section 2520.104-23 of the regulations promulgated by the U.S. Department of Labor.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Eligible Executive</w:t>
            </w:r>
            <w:r>
              <w:rPr>
                <w:rFonts w:ascii="Times New Roman" w:hAnsi="Times New Roman"/>
                <w:sz w:val="20"/>
              </w:rPr>
              <w:t>. An individual is only eligible for protection and to receive the benefits under the Policy if they are an Eligible Executive, including at the time of a Qualified Termination, and comply with its terms (including any terms in the individual’s Participation Agreement). To be an “</w:t>
            </w:r>
            <w:r>
              <w:rPr>
                <w:rFonts w:ascii="Times New Roman" w:hAnsi="Times New Roman"/>
                <w:b/>
                <w:sz w:val="20"/>
              </w:rPr>
              <w:t>Eligible Executive</w:t>
            </w:r>
            <w:r>
              <w:rPr>
                <w:rFonts w:ascii="Times New Roman" w:hAnsi="Times New Roman"/>
                <w:sz w:val="20"/>
              </w:rPr>
              <w:t>,” an individual must (a) be the Chief Executive Officer, an Executive Vice President or Senior Vice President or otherwise have been designated by the Compensation Committee (in a settlor, not fiduciary capacity) as eligible to participate in the Policy (which may be through designating certain categories of positions that are eligible), and (b) have executed a participation agreement in the applicable form attached hereto (a “</w:t>
            </w:r>
            <w:r>
              <w:rPr>
                <w:rFonts w:ascii="Times New Roman" w:hAnsi="Times New Roman"/>
                <w:b/>
                <w:sz w:val="20"/>
              </w:rPr>
              <w:t>Participation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Policy Benefits</w:t>
            </w:r>
            <w:r>
              <w:rPr>
                <w:rFonts w:ascii="Times New Roman" w:hAnsi="Times New Roman"/>
                <w:sz w:val="20"/>
              </w:rPr>
              <w:t xml:space="preserve">. An Eligible Executive will be eligible to receive the payments and benefits set forth in their Participation Agreement upon such Eligible Executive’s Qualified Termination subject to the terms and conditions of the Policy. The amount and terms of any Salary Severance, Cash Incentive Severance, Health Benefit Severance, and Equity Benefits (as each such term is described in the applicable Participation Agreement) that an Eligible Executive may receive on their Qualified Termination, if any, will depend on whether their Qualified Termination is a CIC Qualified Termination or a Non-CIC Qualified Termination. All benefits under the Policy payable on a Qualified Termination will be subject to the Eligible Executive’s compliance with (a) the Release Requirement and any timing modifications required to avoid adverse taxation under Section 409A, and (b) restrictive covenants applicable to an Eligible Executive (including any confidentiality, invention assignment, non-solicitation, non-disparagement contained in any other written agreement between the Eligible Executive and the Company or any of its subsidiaries or affiliates, as in effect on the date of the Eligible Executive’s Qualified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Qualified Termination Benefits</w:t>
            </w:r>
            <w:r>
              <w:rPr>
                <w:rFonts w:ascii="Times New Roman" w:hAnsi="Times New Roman"/>
                <w:sz w:val="20"/>
              </w:rPr>
              <w:t xml:space="preserve">. Subject to the terms of the Policy, including the provisions below related to the Release Requirement and Section 409A (each as defined below), an Eligible Executive will be eligible to receive the following severance benefits upon the occurrence of a Qualified Termination if and solely to the extent such severance benefits are provided for in their Participation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Salary Severance</w:t>
            </w:r>
            <w:r>
              <w:rPr>
                <w:rFonts w:ascii="Times New Roman" w:hAnsi="Times New Roman"/>
                <w:sz w:val="20"/>
              </w:rPr>
              <w:t xml:space="preserve">. Salary severance payment(s) equal to the applicable percentage (set forth in their Participation Agreement) of their Base Salary paid in cash on the terms and at the time(s) specified in their Participation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Cash Incentive Severance</w:t>
            </w:r>
            <w:r>
              <w:rPr>
                <w:rFonts w:ascii="Times New Roman" w:hAnsi="Times New Roman"/>
                <w:sz w:val="20"/>
              </w:rPr>
              <w:t xml:space="preserve">. Cash incentive severance payment(s) with respect to their Target Incentive Compensation in the amount set forth in their Participation Agreement paid in cash on the terms and at the time(s) specified in their Participation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i/>
              </w:rPr>
            </w:pPr>
            <w:r>
              <w:rPr>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Health Benefit Severance</w:t>
            </w:r>
            <w:r>
              <w:rPr>
                <w:rFonts w:ascii="Times New Roman" w:hAnsi="Times New Roman"/>
                <w:sz w:val="20"/>
              </w:rPr>
              <w:t xml:space="preserve">. If the Eligible Executive is eligible for healthcare continuation coverage under the Company’s group health plans pursuant to COBRA, the Company will provide to an Eligible Executive a taxable lump sum cash payment in an amount equal to the product of (a) the number of months specified in an Eligible Executive’s Participation Agreement, as applicable, </w:t>
            </w:r>
            <w:r>
              <w:rPr>
                <w:rFonts w:ascii="Times New Roman" w:hAnsi="Times New Roman"/>
                <w:i/>
                <w:sz w:val="20"/>
              </w:rPr>
              <w:t>multiplied by</w:t>
            </w:r>
            <w:r>
              <w:rPr>
                <w:rFonts w:ascii="Times New Roman" w:hAnsi="Times New Roman"/>
                <w:sz w:val="20"/>
              </w:rPr>
              <w:t xml:space="preserve"> (b) the monthly COBRA premium that they would otherwise be required to pay to continue the group health, dental and vision coverage (excluding any health flexible spending account) for themself and their covered eligible dependents, as applicable, as in effect on the date of termination of such Eligible Executive’s employment (which amount will be based on the premium for the first month of COBRA coverage for themself and their covered eligible dependents), which payment will be made regardless of whether such Eligible Executive elects COBRA continuation coverage (the “</w:t>
            </w:r>
            <w:r>
              <w:rPr>
                <w:rFonts w:ascii="Times New Roman" w:hAnsi="Times New Roman"/>
                <w:b/>
                <w:sz w:val="20"/>
              </w:rPr>
              <w:t>Taxable Payment</w:t>
            </w:r>
            <w:r>
              <w:rPr>
                <w:rFonts w:ascii="Times New Roman" w:hAnsi="Times New Roman"/>
                <w:sz w:val="20"/>
              </w:rPr>
              <w:t xml:space="preserve">”). The Taxable Payment may be used for any purpose, including, but not limited to continuation coverage under COBRA, and will be subject to all applicable tax withholdings as determined by the Company. Notwithstanding anything to the contrary under the Policy, if the Company determines in its sole discretion at any time that it cannot provide the Taxable Payment without violating applicable law (including, without limitation, Section 2716 of the Public Health Service Act and ERISA), an Eligible Executive will not receive any Taxable Payment under the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Equity Benefits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i/>
                <w:sz w:val="20"/>
              </w:rPr>
              <w:t>Time-Based Equity Awards</w:t>
            </w:r>
            <w:r>
              <w:rPr>
                <w:rFonts w:ascii="Times New Roman" w:hAnsi="Times New Roman"/>
                <w:sz w:val="20"/>
              </w:rPr>
              <w:t xml:space="preserve">. Any then-unvested shares subject to each of the Eligible Executive’s then-outstanding exclusively time-based equity awards granted under a Company equity incentive plan (including equity awards initially granted subject to performance-based conditions which have had their performance-based conditions achieved on their respective terms and conditions as of the termination date such that the equity award remains subject only to time-based vesting as of the termination date) shall, on the terms and to the extent provided for in their Participation Agreement, immediately vest and, in the case of options and stock appreciation rights, become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i/>
                <w:sz w:val="20"/>
              </w:rPr>
              <w:t>Performance-Based Equity Awards</w:t>
            </w:r>
            <w:r>
              <w:rPr>
                <w:rFonts w:ascii="Times New Roman" w:hAnsi="Times New Roman"/>
                <w:sz w:val="20"/>
              </w:rPr>
              <w:t xml:space="preserve">. In the case of equity awards granted under a Company equity incentive plan that are or remain subject to performance-based vesting conditions, the treatment of such awards upon a termination of employment shall be set forth in their Participation Agreement and the treatment of the performance conditions for such awards upon a Change in Control shall be set forth in the individual performance-based award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i/>
                <w:sz w:val="20"/>
              </w:rPr>
              <w:t>Non-CIC Qualified Termination Tail Period</w:t>
            </w:r>
            <w:r>
              <w:rPr>
                <w:rFonts w:ascii="Times New Roman" w:hAnsi="Times New Roman"/>
                <w:sz w:val="20"/>
              </w:rPr>
              <w:t xml:space="preserve">. In the event of the Eligible Executive’s Non-CIC Qualified Termination, any unvested portion of their then-outstanding equity awards will remain outstanding until the earlier of (a) 3 months following the Non-CIC Qualified Termination (or such longer period set forth in the Eligible Executive’s Participation Agreement), or (b) the occurrence of a Change in Control, solely so that any benefits due to such Eligible Executive on a Qualified Termination can be provided if a Change in Control occurs within the 3-month period following the Non-CIC Qualified Termination (provided that in no event will the Eligible Executive’s stock options or similar equity awards remain outstanding beyond the equity award’s maximum term to expiration). If no Change in Control occurs within the 3-month period following a Non-CIC Qualified Termination, any unvested portion of the Eligible Executive’s equity awards that were unvested as of the date of such Eligible Executive’s Non-CIC Qualified Termination (after applying any accelerated vesting that the Eligible Executive may have received in connection with the Non-CIC Qualified Termination) shall be automatically and permanently forfeited on the date that is 3 months following the date of the Non-CIC Qualified Termination without having vested (except as otherwise as set forth in the Eligible Executive’s Participation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i/>
                <w:sz w:val="20"/>
              </w:rPr>
              <w:t>Limitation</w:t>
            </w:r>
            <w:r>
              <w:rPr>
                <w:rFonts w:ascii="Times New Roman" w:hAnsi="Times New Roman"/>
                <w:sz w:val="20"/>
              </w:rPr>
              <w:t xml:space="preserve">. For the avoidance of doubt, this Policy does not apply to any Company common stock that may be subject to a risk of forfeiture but was not issued or granted under a Company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Non-Duplication of Payment or Benefits</w:t>
            </w:r>
            <w:r>
              <w:rPr>
                <w:rFonts w:ascii="Times New Roman" w:hAnsi="Times New Roman"/>
                <w:sz w:val="20"/>
              </w:rPr>
              <w:t xml:space="preserve">. If (a) an Eligible Executive’s Qualified Termination occurring prior to a Change in Control qualifies them for severance payments and benefits payable on a Non-CIC Qualified Termination under the Policy, </w:t>
            </w:r>
            <w:r>
              <w:rPr>
                <w:rFonts w:ascii="Times New Roman" w:hAnsi="Times New Roman"/>
                <w:sz w:val="20"/>
                <w:u w:val="single"/>
              </w:rPr>
              <w:t>and</w:t>
            </w:r>
            <w:r>
              <w:rPr>
                <w:rFonts w:ascii="Times New Roman" w:hAnsi="Times New Roman"/>
                <w:sz w:val="20"/>
              </w:rPr>
              <w:t xml:space="preserve"> (b) a Change in Control occurs within the 3-month period following their Qualified Termination that qualifies them for superior severance payments and benefits payable on a CIC Qualified Termination under the Policy, if any, then such Eligible Executive (i) will cease receiving any further payments or benefits under the Policy in connection with their Non-CIC Qualified Termination, and (ii) will receive payments and benefits under the Policy in connection with such CIC Qualified Termination; </w:t>
            </w:r>
            <w:r>
              <w:rPr>
                <w:rFonts w:ascii="Times New Roman" w:hAnsi="Times New Roman"/>
                <w:i/>
                <w:sz w:val="20"/>
              </w:rPr>
              <w:t>provided</w:t>
            </w:r>
            <w:r>
              <w:rPr>
                <w:rFonts w:ascii="Times New Roman" w:hAnsi="Times New Roman"/>
                <w:sz w:val="20"/>
              </w:rPr>
              <w:t xml:space="preserve"> that each of the Salary Severance, Cash Incentive Severance, Health Benefit Severance, and Equity Benefits, as applicable, otherwise payable upon such CIC Qualified Termination under the Policy will be offset and reduced by the corresponding payments or benefits such Eligible Executive already received under the Policy in connection with their Non-CIC Qualified Termination and the payment timing provisions applicable to a CIC Qualified Termination shall control with respect to all remaining payments and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Death of Eligible Executive</w:t>
            </w:r>
            <w:r>
              <w:rPr>
                <w:rFonts w:ascii="Times New Roman" w:hAnsi="Times New Roman"/>
                <w:sz w:val="20"/>
              </w:rPr>
              <w:t xml:space="preserve">. If the Eligible Executive dies after the occurrence of their Qualified Termination and before all payments or benefits they are entitled to receive under the Policy have been paid, then such unpaid amounts will be paid to their designated beneficiary, if living, or otherwise to their personal representative in a lump-sum payment as soon as possible following their death.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Recoupment</w:t>
            </w:r>
            <w:r>
              <w:rPr>
                <w:rFonts w:ascii="Times New Roman" w:hAnsi="Times New Roman"/>
                <w:sz w:val="20"/>
              </w:rPr>
              <w:t>. All payments or benefits under the Policy shall be subject to reduction, cancellation, forfeiture, recoupment, reimbursement or reacquisition under the Company’s clawback policies in place at the time the Eligible Executive signs their Participation Agreement and any other clawback policy that the Company establishes and/or amends from time to time (including, without limitation, pursuant to the listing standards of any national securities exchange or association on which the Company’s securities are listed or as is otherwise required by the Dodd-Frank Wall Street Reform and Consumer Protection Act or other applicable laws) (in each case, a “</w:t>
            </w:r>
            <w:r>
              <w:rPr>
                <w:rFonts w:ascii="Times New Roman" w:hAnsi="Times New Roman"/>
                <w:b/>
                <w:sz w:val="20"/>
              </w:rPr>
              <w:t>Clawback Policy</w:t>
            </w:r>
            <w:r>
              <w:rPr>
                <w:rFonts w:ascii="Times New Roman" w:hAnsi="Times New Roman"/>
                <w:sz w:val="20"/>
              </w:rPr>
              <w:t xml:space="preserve">”). The Administrator may require an Eligible Executive to forfeit, return or reimburse the Company all or a portion of benefits or any amounts paid hereunder pursuant to the terms of any applicable Clawback Policy or as necessary or appropriate to comply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sz w:val="20"/>
              </w:rPr>
              <w:t>Release</w:t>
            </w:r>
            <w:r>
              <w:rPr>
                <w:rFonts w:ascii="Times New Roman" w:hAnsi="Times New Roman"/>
                <w:sz w:val="20"/>
              </w:rPr>
              <w:t>. Except with respect to Accrued Amounts (which an Eligible Executive shall be entitled to in connection with any Qualified Termination), the Eligible Executive’s receipt of any payments or benefits upon their Qualified Termination under the Policy is subject to the Eligible Executive signing and not revoking the Company’s then-standard separation agreement and release of claims (the “</w:t>
            </w:r>
            <w:r>
              <w:rPr>
                <w:rFonts w:ascii="Times New Roman" w:hAnsi="Times New Roman"/>
                <w:b/>
                <w:sz w:val="20"/>
              </w:rPr>
              <w:t>Release</w:t>
            </w:r>
            <w:r>
              <w:rPr>
                <w:rFonts w:ascii="Times New Roman" w:hAnsi="Times New Roman"/>
                <w:sz w:val="20"/>
              </w:rPr>
              <w:t>” and such requirement, the “</w:t>
            </w:r>
            <w:r>
              <w:rPr>
                <w:rFonts w:ascii="Times New Roman" w:hAnsi="Times New Roman"/>
                <w:b/>
                <w:sz w:val="20"/>
              </w:rPr>
              <w:t>Release Requirement</w:t>
            </w:r>
            <w:r>
              <w:rPr>
                <w:rFonts w:ascii="Times New Roman" w:hAnsi="Times New Roman"/>
                <w:sz w:val="20"/>
              </w:rPr>
              <w:t>”). The Release will provide the Eligible Executive with a consideration period of twenty-one (21) days (or forty-five (45) days if the Eligible Executive’s Qualified Termination occurs in connection with a group termination program or as otherwise required under the Age Discrimination in Employment Act of 1967, as amended) following their Qualified Termination to consider whether to execute the Release, following which the Eligible Executive will have seven (7) days (or such longer period as may be required by applicable law) to revoke the Release. The Release must become effective and irrevocable no later than the last day of the applicable revocation period following an Eligible Executive’s Qualified Termination (the “</w:t>
            </w:r>
            <w:r>
              <w:rPr>
                <w:rFonts w:ascii="Times New Roman" w:hAnsi="Times New Roman"/>
                <w:b/>
                <w:sz w:val="20"/>
              </w:rPr>
              <w:t>Release Deadline</w:t>
            </w:r>
            <w:r>
              <w:rPr>
                <w:rFonts w:ascii="Times New Roman" w:hAnsi="Times New Roman"/>
                <w:sz w:val="20"/>
              </w:rPr>
              <w:t xml:space="preserve">”). If the Release does not become effective and irrevocable by the Release Deadline, the Eligible Executive will forfeit any right to payments or benefits under the Policy. In no event will payments or benefits under the Policy be paid or provided until the Release actually becomes effective and irrevocable. In the event a Qualified Termination occurs at a time during the calendar year where the Release could become effective in the calendar year following the calendar year in which an Eligible Executive’s Qualified Termination occurs, then any payments or benefits under the Policy that would be considered Deferred Payments (as defined below) will be paid on the first regularly scheduled payroll date following the Release Deadline to occur during the calendar year following the calendar year in which such termination occurs, or, if later, such time as required by the payment schedule applicable to each payment or benefit as set forth in an applicable Participation Agreement; </w:t>
            </w:r>
            <w:r>
              <w:rPr>
                <w:rFonts w:ascii="Times New Roman" w:hAnsi="Times New Roman"/>
                <w:i/>
                <w:sz w:val="20"/>
              </w:rPr>
              <w:t xml:space="preserve">provided </w:t>
            </w:r>
            <w:r>
              <w:rPr>
                <w:rFonts w:ascii="Times New Roman" w:hAnsi="Times New Roman"/>
                <w:sz w:val="20"/>
              </w:rPr>
              <w:t xml:space="preserve">that, except as otherwise set forth in their Participation Agreement or to the extent that payments are delayed under </w:t>
            </w:r>
            <w:r>
              <w:rPr>
                <w:rFonts w:ascii="Times New Roman" w:hAnsi="Times New Roman"/>
                <w:sz w:val="20"/>
                <w:u w:val="single"/>
              </w:rPr>
              <w:t>Section 8</w:t>
            </w:r>
            <w:r>
              <w:rPr>
                <w:rFonts w:ascii="Times New Roman" w:hAnsi="Times New Roman"/>
                <w:sz w:val="20"/>
              </w:rPr>
              <w:t xml:space="preserve">, on such applicable date , the Company will pay or provide them the payments and benefits that they would otherwise have received under the Policy on or prior to such date, with the balance of such payments and benefits being paid or provided as originally scheduled.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409A</w:t>
            </w:r>
            <w:r>
              <w:rPr>
                <w:rFonts w:ascii="Times New Roman" w:hAnsi="Times New Roman"/>
                <w:sz w:val="20"/>
              </w:rPr>
              <w:t>. The Company intends that all payments and benefits under the Policy or otherwise are exempt from, or comply with, the requirements of Section 409A of the Code and any guidance promulgated thereunder (collectively, “</w:t>
            </w:r>
            <w:r>
              <w:rPr>
                <w:rFonts w:ascii="Times New Roman" w:hAnsi="Times New Roman"/>
                <w:b/>
                <w:sz w:val="20"/>
              </w:rPr>
              <w:t>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so that none of the payments or benefits will be subject to the additional tax imposed under Section 409A, and any ambiguities herein will be interpreted in accordance with this intent. Any payments under this Policy that may be excluded from Section 409A either as separation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pay due to an involuntary separation from service or as a short-term deferral shall be excluded from Section 409A to the maximum extent possible. No payment or benefits to be paid to an Eligible Executive, if any, under the Policy or otherwise, when considered together with any other severance payments or separation benefits that are considered deferred compensation under Section 409A (together, the “</w:t>
            </w:r>
            <w:r>
              <w:rPr>
                <w:b/>
              </w:rPr>
              <w:t>Deferred Payments</w:t>
            </w:r>
            <w:r>
              <w:rPr/>
              <w:t xml:space="preserve">”) will be paid or otherwise provided until they have a “separation from service” within the meaning of Section 409A. If, at the time of the Eligible Executive’s termination of employment, they are a “specified employee” within the meaning of Section 409A, then the payment of the Deferred Payments will be delayed to the extent necessary to avoid the imposition of the additional tax imposed under Section 409A, which generally means that their payment will be delayed until the earlier to occur of (a) the first business day following the six-month anniversary of an Eligible Executive’s separation from service and (b) if an Eligible Executive dies prior to the payment of any delayed amount, the date of their death. The Company reserves the right to amend the Policy as it deems necessary or advisable, in its sole discretion and without the consent of such Eligible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the Policy is intended to constitute a separate payment for purposes of U.S. Treasury Regulation Section 1.409A-2(b)(2). In no event will the Company reimburse any Eligible Executive for any taxes that may be imposed on an Eligible Executive as a result of Section 409A. Reimbursements and in-kind benefits provided under this Policy shall be made or provided in accordance with the requirements of Section 409A, including, where applicable, the requirements that: (i) any reimbursement is for expenses incurred during an Eligible Executive’s lifetime (or during a shorter period of time specified in this Policy); (ii) the amount of expenses eligible for reimbursement, or in-kind benefits provided, during a calendar year may not affect the expenses eligible for reimbursement, or in-kind benefits to be provided, in any other calendar year; (iii) the reimbursement of an eligible expense will be made on or before the last day of the calendar year following the year in which the expense is incurred; and (iv) the right to reimbursement or in-kind benefits is not subject to liquidation or exchange for another benefit. Notwithstanding anything in the Policy to the contrary, (x) any amounts that have been deferred under the Company’s Deferred Compensation Plan shall be paid and treated in accordance with the terms and conditions set forth in the Deferred Compensation Plan and (y) the Company makes no representations that the payments and benefits provided under this Policy comply with Section 409A and in no event shall the Company be liable for all or any portion of any taxes, penalties, interest or other expenses that may be incurred by an Eligible Executive on account of noncompliance with Section 409A.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Parachute Payments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Reduction of Severance Benefits</w:t>
            </w:r>
            <w:r>
              <w:rPr>
                <w:rFonts w:ascii="Times New Roman" w:hAnsi="Times New Roman"/>
                <w:sz w:val="20"/>
              </w:rPr>
              <w:t>. Notwithstanding anything set forth herein to the contrary, if any payment or benefit that an Eligible Executive would receive from the Company or any other party whether in connection with the provisions herein or otherwise (the “</w:t>
            </w:r>
            <w:r>
              <w:rPr>
                <w:rFonts w:ascii="Times New Roman" w:hAnsi="Times New Roman"/>
                <w:b/>
                <w:sz w:val="20"/>
              </w:rPr>
              <w:t>Payment</w:t>
            </w:r>
            <w:r>
              <w:rPr>
                <w:rFonts w:ascii="Times New Roman" w:hAnsi="Times New Roman"/>
                <w:sz w:val="20"/>
              </w:rPr>
              <w:t>”) would (a) constitute a “parachute payment” within the meaning of Section 280G of the Code, and (b) but for this sentence, be subject to the excise tax imposed by Section 4999 of the Code (the “</w:t>
            </w:r>
            <w:r>
              <w:rPr>
                <w:rFonts w:ascii="Times New Roman" w:hAnsi="Times New Roman"/>
                <w:b/>
                <w:sz w:val="20"/>
              </w:rPr>
              <w:t>Excise Tax</w:t>
            </w:r>
            <w:r>
              <w:rPr>
                <w:rFonts w:ascii="Times New Roman" w:hAnsi="Times New Roman"/>
                <w:sz w:val="20"/>
              </w:rPr>
              <w:t xml:space="preserve">”), then such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will be equal to the Best Results Amount. The “</w:t>
            </w:r>
            <w:r>
              <w:rPr>
                <w:b/>
              </w:rPr>
              <w:t>Best Results Amount</w:t>
            </w:r>
            <w:r>
              <w:rPr/>
              <w:t xml:space="preserve">” will be either (x) the full amount of such Payment, or (y) such lesser amount as would result in no portion of the Payment being subject to the Excise Tax, whichever of the foregoing amounts, taking into account the applicable federal, state and local employment taxes, income taxes and the Excise Tax, results in the Eligible Executive’s receipt, on an after-tax basis, of the greater amount notwithstanding that all or some portion of the Payment may be subject to the Excise Tax. If a reduction in payments or benefits constituting parachute payments is necessary so that the Payment equals the Best Results Amount, reduction will occur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 equity awards will be cancelled first); and (iv) reduction of employee benefits in reverse chronological order (that is, the benefit owed on the latest date following the occurrence of the event triggering the Excise Tax will be the first benefit to be reduced). The Eligible Executive will be solely responsible for the payment of all personal tax liability that they incur as a result of the payments and benefits under the Policy, and they will not be reimbursed by the Company for any such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Determination of Excise Tax Liability</w:t>
            </w:r>
            <w:r>
              <w:rPr>
                <w:rFonts w:ascii="Times New Roman" w:hAnsi="Times New Roman"/>
                <w:sz w:val="20"/>
              </w:rPr>
              <w:t xml:space="preserve">. The Company will select a professional services firm to make all of the determinations required to be made under these paragraphs relating to parachute payments. The Company will request that the firm provide detailed supporting calculations both to the Company and the Eligible Executive prior to the date on which the event that triggers the Payment occurs if administratively feasible, or subsequent to such date if events occur that result in parachute payments to them at that time. For purposes of making the calculations required under these paragraphs relating to parachute payments, the firm may make reasonable assumptions and approximations concerning applicable taxes and may rely on reasonable, good faith determinations concerning the application of the Code. The Company and the Eligible Executive will furnish to the firm such information and documents as the firm may reasonably request in order to make a determination under these paragraphs relating to parachute payments. The Company will bear all costs the firm may reasonably incur in connection with any calculations contemplated by these paragraphs relating to parachute payments. Any such determination by the firm will be binding upon the Company and the Eligible Executive, and the Company will have no liability to the Eligible Executive for the determinations of the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Exclusive Benefits</w:t>
            </w:r>
            <w:r>
              <w:rPr>
                <w:rFonts w:ascii="Times New Roman" w:hAnsi="Times New Roman"/>
                <w:sz w:val="20"/>
              </w:rPr>
              <w:t xml:space="preserve">. Except as may be set forth in an Eligible Executive’s Participation Agreement or as otherwise specifically set forth in any policy adopted by the Company governing equity awards granted under the Company’s equity incentive plan, including, but not limited to, the Survivor Benefit Policy, and an applicable equity award agreement (including, without limitation, with respect to equity awards granted under the Company’s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equity incentive plan) (together, a “</w:t>
            </w:r>
            <w:r>
              <w:rPr>
                <w:b/>
              </w:rPr>
              <w:t>Superseding Equity Agreement</w:t>
            </w:r>
            <w:r>
              <w:rPr/>
              <w:t xml:space="preserve">”), the Policy is intended to be the only agreement between them and the Company regarding any change in control or severance payments or benefits, including any acceleration of equity, to be paid to them on account of a termination of employment whether unrelated to, concurrent with, or following, a Change in Control. Accordingly, by executing a Participation Agreement, an Eligible Executive hereby forfeits and waives any rights to any severance or change in control benefits set forth in any employment agreement, offer letter, and/or equity award agreement, except as set forth in the Policy and in their Participation Agreement or in a Superseding Equity Agreement. An Eligible Executive shall not be entitled to any change in control or severance payments or benefits under this Policy that duplicates a payment or benefit received or receivable by the Eligible Executive pursuant to any statutory severance or pay in lieu of notice required by applicable law or regulation. If an Eligible Executive has a right to payments or benefits upon a Qualifying Termination that duplicates any change in control or severance payments or benefits under this Policy, the benefits under this Policy shall be reduced, dollar-for-dollar, by the amount of the duplicate payments and benefits. The payments and benefits provided under this Policy are intended to satisfy, in whole or in part, any and all statutory obligations that may arise out of an Eligible Executive’s termination of employment, and the Company shall so construe and enforce the terms of this Policy. The Administrator’s decision to waive all or a portion of such reductions to the severance benefits of one Eligible Executive and the amount of such reductions shall in no way obligate the Administrator to waive the same reductions in the same amounts to the severance benefits of any other Eligible Executives, even if similarly situated. Such reductions may be applied on a retroactive basis, with payments and benefits previously paid or provided under this Policy being recharacterized as payments or benefits in satisfaction of a requirement of applicable law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Administration</w:t>
            </w:r>
            <w:r>
              <w:rPr>
                <w:rFonts w:ascii="Times New Roman" w:hAnsi="Times New Roman"/>
                <w:sz w:val="20"/>
              </w:rPr>
              <w:t>. The Policy will be administered by the Compensation Committee or its delegate (in each case, an “</w:t>
            </w:r>
            <w:r>
              <w:rPr>
                <w:rFonts w:ascii="Times New Roman" w:hAnsi="Times New Roman"/>
                <w:b/>
                <w:sz w:val="20"/>
              </w:rPr>
              <w:t>Administrator</w:t>
            </w:r>
            <w:r>
              <w:rPr>
                <w:rFonts w:ascii="Times New Roman" w:hAnsi="Times New Roman"/>
                <w:sz w:val="20"/>
              </w:rPr>
              <w:t xml:space="preserve">”). The Administrator will have full discretion to administer and interpret the Policy. Any decision made or other action taken by the Administrator with respect to the Policy and any interpretation by the Administrator of any term or condition of the Policy, or any related document, will be conclusive and binding on all persons and be given the maximum possible deference allowed by law. The Administrator is the “plan administrator” of the Policy for purposes of ERISA and will be subject to the fiduciary standards of ERISA when acting in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Attorneys</w:t>
            </w:r>
            <w:r>
              <w:rPr>
                <w:rFonts w:ascii="Times New Roman" w:hAnsi="Times New Roman"/>
                <w:sz w:val="20"/>
              </w:rPr>
              <w:t xml:space="preserve">’ </w:t>
            </w:r>
            <w:r>
              <w:rPr>
                <w:rFonts w:ascii="Times New Roman" w:hAnsi="Times New Roman"/>
                <w:b/>
                <w:sz w:val="20"/>
              </w:rPr>
              <w:t>Fees</w:t>
            </w:r>
            <w:r>
              <w:rPr>
                <w:rFonts w:ascii="Times New Roman" w:hAnsi="Times New Roman"/>
                <w:sz w:val="20"/>
              </w:rPr>
              <w:t xml:space="preserve">. The Company and each Eligible Executive will bear their own attorneys’ fees incurred in connection with any disputes between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Tax Withholding</w:t>
            </w:r>
            <w:r>
              <w:rPr>
                <w:rFonts w:ascii="Times New Roman" w:hAnsi="Times New Roman"/>
                <w:sz w:val="20"/>
              </w:rPr>
              <w:t xml:space="preserve">. All payments and benefits under the Policy will be paid less applicable withholding taxes. The Company is authorized to withhold from any payments or benefits all federal, state, local and/or foreign taxes required to be withheld therefrom and any other required payroll deductions. The Company will not pay any Eligible Executive’s taxes arising from or relating to any payments or benefits under the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Benefits Not Assignable</w:t>
            </w:r>
            <w:r>
              <w:rPr>
                <w:rFonts w:ascii="Times New Roman" w:hAnsi="Times New Roman"/>
                <w:sz w:val="20"/>
              </w:rPr>
              <w:t xml:space="preserve">. Except as otherwise provided herein or by law, no right or interest of any Eligible Executive under the Policy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Executive under the Policy shall be liable for, or subject to, any obligation or liability of such Eligible Executive.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Amendment or Termination</w:t>
            </w:r>
            <w:r>
              <w:rPr>
                <w:rFonts w:ascii="Times New Roman" w:hAnsi="Times New Roman"/>
                <w:sz w:val="20"/>
              </w:rPr>
              <w:t xml:space="preserve">. The Board or the Compensation Committee may amend or terminate the Policy at any time, without advance notice to any Eligible Executive or other individual and without regard to the effect of the amendment or termination on any Eligible Executive or on any other individual. Notwithstanding the preceding, no amendment or termination of the Policy will be made if such amendment or termination would reduce the benefits provided hereunder or impair an Eligible Executive’s eligibility under the Policy (unless the affected Eligible Executive consents to such amendment or termination), except that the Board or the Compensation Committee may unilaterally and without consent of any Eligible Executive make any such amendments that are necessary or appropriate to comply with applicable laws. For clarity, an action by the Administrator not to continue or renew the Policy will not be an action that requires an Eligible Executive’s consent. Any action to amend or terminate the Policy will be taken in a settlor, non-fiduciary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Exhaustion of Administrative Remedies</w:t>
            </w:r>
            <w:r>
              <w:rPr>
                <w:rFonts w:ascii="Times New Roman" w:hAnsi="Times New Roman"/>
                <w:sz w:val="20"/>
              </w:rPr>
              <w:t>. The exhaustion of the claims and appeal procedures (“</w:t>
            </w:r>
            <w:r>
              <w:rPr>
                <w:rFonts w:ascii="Times New Roman" w:hAnsi="Times New Roman"/>
                <w:b/>
                <w:sz w:val="20"/>
              </w:rPr>
              <w:t>Claims and Appeal Procedures</w:t>
            </w:r>
            <w:r>
              <w:rPr>
                <w:rFonts w:ascii="Times New Roman" w:hAnsi="Times New Roman"/>
                <w:sz w:val="20"/>
              </w:rPr>
              <w:t xml:space="preserve">”), as described in the Claims and Appeal Procedures Appendix is mandatory for resolving every claim and dispute arising under the Policy. As to such claims and disputes: (i) no claimant shall be permitted to commence any legal action to recover benefits or to enforce or clarify rights under the Policy under Section 502 or Section 510 of ERISA or under any other provision of law, whether or not statutory, until the Claims and Appeal Procedures have been exhausted in their entirety; and (ii) in any such legal action, all explicit and all implicit determinations by the claims administrator (including, but not limited to, determinations as to whether the claim, or a request for a review of a denied claim, was timely filed) shall be afforded the maximum deference permitted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Deadline to File Action.</w:t>
            </w:r>
            <w:r>
              <w:rPr>
                <w:rFonts w:ascii="Times New Roman" w:hAnsi="Times New Roman"/>
                <w:sz w:val="20"/>
              </w:rPr>
              <w:t xml:space="preserve"> No legal action to recover benefits under the Policy or to enforce or clarify rights under the Policy under Section 502 or Section 510 of ERISA or under any other provision of law, whether or not statutory, may be brought by any claimant on any matter pertaining to the Policy unless the legal action is commenced in the proper forum before the earlier of: (i) 18 months after the claimant knew or reasonably should have known of the principal facts on which the claim is based; or (ii) six months after the claimant has exhausted the Claims and Appeal Procedures under the Policy. Knowledge of all facts that the claimant knew or reasonably should have known shall be imputed to every claimant who is or claims to be a beneficiary of an Eligible Executive or otherwise claims to derive an entitlement by reference to the Eligible Executive for the purpose of applying the previously-specified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Successors</w:t>
            </w:r>
            <w:r>
              <w:rPr>
                <w:rFonts w:ascii="Times New Roman" w:hAnsi="Times New Roman"/>
                <w:sz w:val="20"/>
              </w:rPr>
              <w:t>. Any successor to the Company of all or substantially all of the Company’s business and/or assets (whether direct or indirect and whether by purchase, merger, consolidation, liquidation or other transaction) will assume the obligations under the Policy and agree expressly to perform the obligations under the Policy in the same manner and to the same extent as the Company would be required to perform such obligations in the absence of a succession. For all purposes under the Policy, the term “</w:t>
            </w:r>
            <w:r>
              <w:rPr>
                <w:rFonts w:ascii="Times New Roman" w:hAnsi="Times New Roman"/>
                <w:b/>
                <w:sz w:val="20"/>
              </w:rPr>
              <w:t>Company</w:t>
            </w:r>
            <w:r>
              <w:rPr>
                <w:rFonts w:ascii="Times New Roman" w:hAnsi="Times New Roman"/>
                <w:sz w:val="20"/>
              </w:rPr>
              <w:t xml:space="preserve">” will include any successor to the Company’s business and/or assets which becomes bound by the terms of the Policy by operation of law,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Applicable Law</w:t>
            </w:r>
            <w:r>
              <w:rPr>
                <w:rFonts w:ascii="Times New Roman" w:hAnsi="Times New Roman"/>
                <w:sz w:val="20"/>
              </w:rPr>
              <w:t xml:space="preserve">. The provisions of the Policy will be construed, administered and enforced in accordance with ERISA and, to the extent applicable, the internal substantive laws of the state of California (but not its conflict of laws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Severability</w:t>
            </w:r>
            <w:r>
              <w:rPr>
                <w:rFonts w:ascii="Times New Roman" w:hAnsi="Times New Roman"/>
                <w:sz w:val="20"/>
              </w:rPr>
              <w:t xml:space="preserve">. The invalidity or unenforceability of any provision of the Policy shall not affect the validity or enforceability of any other provision of the Policy, which shall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Unfunded Plan</w:t>
            </w:r>
            <w:r>
              <w:rPr>
                <w:rFonts w:ascii="Times New Roman" w:hAnsi="Times New Roman"/>
                <w:sz w:val="20"/>
              </w:rPr>
              <w:t xml:space="preserve">. The Policy shall be maintained in a manner to be considered “unfunded” for purposes of ERISA. The Company shall be required to make payments only as benefits become due and payable. No Eligible Executive shall have any right, other than the right of an unsecured general creditor against the Company, with respect to the benefits payable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Definitions</w:t>
            </w:r>
            <w:r>
              <w:rPr>
                <w:rFonts w:ascii="Times New Roman" w:hAnsi="Times New Roman"/>
                <w:sz w:val="20"/>
              </w:rPr>
              <w:t xml:space="preserve">. Unless otherwise defined in an Eligible Executive’s Participation Agreement, the following terms will have the following meanings for purposes of the Policy and the Eligible Executive’s Participation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pPr>
            <w:r>
              <w:rPr/>
              <w:t>“</w:t>
            </w:r>
            <w:r>
              <w:rPr>
                <w:rFonts w:ascii="Times New Roman" w:hAnsi="Times New Roman"/>
                <w:b/>
                <w:sz w:val="20"/>
              </w:rPr>
              <w:t>Accrued Amounts</w:t>
            </w:r>
            <w:r>
              <w:rPr>
                <w:rFonts w:ascii="Times New Roman" w:hAnsi="Times New Roman"/>
                <w:sz w:val="20"/>
              </w:rPr>
              <w:t xml:space="preserve">” means, with respect to an Eligible Executive, the sum of the following (if any): (i) any accrued but unpaid Base Salary of such Eligible Executive through the date of a Qualified Termination; (ii) reimbursement for any unreimbursed business expenses properly incurred by such Eligible Executive and entitled to reimbursement by the Company in accordance with the policies of the Company through the date of a Qualified Termination; and (iii) accrued and unused vacation or paid time off, if applicable, to the extent not previously paid and required by applicable law. Any Accrued Amounts set forth in clauses (i) through (iii) above that become payable to an Eligible Executive in accordance with this Policy or the terms of the applicable Participation Agreement shall be paid in a lump-sum cash payment within 30 days following the date of a Qualified Termination, or on such earlier date as may be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pPr>
            <w:r>
              <w:rPr/>
              <w:t>“</w:t>
            </w:r>
            <w:r>
              <w:rPr>
                <w:rFonts w:ascii="Times New Roman" w:hAnsi="Times New Roman"/>
                <w:b/>
                <w:sz w:val="20"/>
              </w:rPr>
              <w:t>Base Salary</w:t>
            </w:r>
            <w:r>
              <w:rPr>
                <w:rFonts w:ascii="Times New Roman" w:hAnsi="Times New Roman"/>
                <w:sz w:val="20"/>
              </w:rPr>
              <w:t xml:space="preserve">” means the Eligible Executive’s annual base salary as in effect immediately prior to their Qualified Termination (but disregarding any reduction of such annual base salary that results in Good Reason) or, if their Qualified Termination is a CIC Qualified Termination and such amount is greater, at the level in effect immediately prior to the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pPr>
            <w:r>
              <w:rPr/>
              <w:t>“</w:t>
            </w:r>
            <w:r>
              <w:rPr>
                <w:rFonts w:ascii="Times New Roman" w:hAnsi="Times New Roman"/>
                <w:b/>
                <w:sz w:val="20"/>
              </w:rPr>
              <w:t>Board</w:t>
            </w:r>
            <w:r>
              <w:rPr>
                <w:rFonts w:ascii="Times New Roman" w:hAnsi="Times New Roman"/>
                <w:sz w:val="20"/>
              </w:rPr>
              <w:t xml:space="preserve">” means the Board of Directors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pPr>
            <w:r>
              <w:rPr/>
              <w:t>“</w:t>
            </w:r>
            <w:r>
              <w:rPr>
                <w:rFonts w:ascii="Times New Roman" w:hAnsi="Times New Roman"/>
                <w:b/>
                <w:sz w:val="20"/>
              </w:rPr>
              <w:t>Cause</w:t>
            </w:r>
            <w:r>
              <w:rPr>
                <w:rFonts w:ascii="Times New Roman" w:hAnsi="Times New Roman"/>
                <w:sz w:val="20"/>
              </w:rPr>
              <w:t xml:space="preserve">” means, any of the following: (i) an Eligible Executive’s conviction or plea of </w:t>
            </w:r>
            <w:r>
              <w:rPr>
                <w:rFonts w:ascii="Times New Roman" w:hAnsi="Times New Roman"/>
                <w:i/>
                <w:sz w:val="20"/>
              </w:rPr>
              <w:t>nolo contendre</w:t>
            </w:r>
            <w:r>
              <w:rPr>
                <w:rFonts w:ascii="Times New Roman" w:hAnsi="Times New Roman"/>
                <w:sz w:val="20"/>
              </w:rPr>
              <w:t xml:space="preserve"> to any felony or any crime involving moral turpitude or dishonesty; (ii) an Eligible Executive’s participation in intentional fraud or an act of willful dishonesty against the Company; (iii) an Eligible Executive’s breach of the Company’s policies which materially harms the Company; (iv) an Eligible Executive’s intentional damage of a substantial amount of the Company’s property; (v) an Eligible Executive’s material breach of the Eligible Executive’s Employee Invention Assignment and Confidentiality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Agreement or similar agreement entered into between an Eligible Executive and the Company (the “</w:t>
            </w:r>
            <w:r>
              <w:rPr>
                <w:b/>
              </w:rPr>
              <w:t>Confidentiality Agreement</w:t>
            </w:r>
            <w:r>
              <w:rPr/>
              <w:t xml:space="preserve">”); (vi) an Eligible Executive’s unauthorized use of any trade secrets or proprietary information of the Company or its subsidiaries, whether or not in breach of the Eligible Executive’s Confidentiality Agreement; (vii) an Eligible Executive’s breach of fiduciary duty to the Company; (viii) a material violation by the Eligible Executive of one of the Company’s material employment policies that would reasonably be expected to result in material injury or reputational harm to the Company or any of its subsidiaries if he or she were retained in his or her position, including an Eligible Executive’s failure to cooperate with an internal or governmental investigation; or (ix) an Eligible Executive’s failure or refusal in a material respect to follow the lawful, reasonable policies or directions of the Company as specified by the Board, the Chief Executive Officer or an Eligible Executive’s direct manager, as applicable, after being provided with notice of such failure, such notice specifying in reasonable detail the tasks which must be accomplished to cure (to the extent curable) such failure or refusal, and such Eligible Executive has failed to cure (to the extent curable) such failure or refusal within 30 days of receipt of such notice. Notwithstanding the foregoing, following a Change in Control, any determination that an Eligible Executive has been terminated for Cause must be made by the board of directors of the Company’s successor acting unanimously and in good faith based on clear and convincing evidence.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pPr>
            <w:r>
              <w:rPr/>
              <w:t>“</w:t>
            </w:r>
            <w:r>
              <w:rPr>
                <w:rFonts w:ascii="Times New Roman" w:hAnsi="Times New Roman"/>
                <w:b/>
                <w:sz w:val="20"/>
              </w:rPr>
              <w:t>Change in Control</w:t>
            </w:r>
            <w:r>
              <w:rPr>
                <w:rFonts w:ascii="Times New Roman" w:hAnsi="Times New Roman"/>
                <w:sz w:val="20"/>
              </w:rPr>
              <w:t>” means the occurrence of any of the following events: (i) a change in the ownership of the Company which occurs on the date that any one person, or more than one person acting as a group (“</w:t>
            </w:r>
            <w:r>
              <w:rPr>
                <w:rFonts w:ascii="Times New Roman" w:hAnsi="Times New Roman"/>
                <w:b/>
                <w:sz w:val="20"/>
              </w:rPr>
              <w:t>Person</w:t>
            </w:r>
            <w:r>
              <w:rPr>
                <w:rFonts w:ascii="Times New Roman" w:hAnsi="Times New Roman"/>
                <w:sz w:val="20"/>
              </w:rPr>
              <w:t xml:space="preserve">”), acquires ownership of the stock of the Company that, together with the stock held by such Person, constitutes more than 50% of the total voting power of the stock of the Company; (ii) the date that a majority of members of the Board is replaced during any 12-month period by members of the Board whose appointment or election is not approved by a majority of the members of the Board prior to the date of the appointment or election; or (iii)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an entity, 50% or more of the total value or voting power of which is owned, directly or indirectly, by the Company. For purposes of this subsection (iii), gross fair market value means the value of the assets of the Company, or the value of the assets being disposed of, determined without regard to any liabilities associated with such assets. For purposes of this definition, persons will be considered to be acting as a group if they are owners of a corporation or other entity that enters into a merger, consolidation, purchase or acquisition of stock, or similar business transaction with the Company. Notwithstanding the foregoing, a transaction will not be deemed a Change in Control unless the transaction qualifies as a change in control event within the meaning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pPr>
            <w:r>
              <w:rPr/>
              <w:t>“</w:t>
            </w:r>
            <w:r>
              <w:rPr>
                <w:rFonts w:ascii="Times New Roman" w:hAnsi="Times New Roman"/>
                <w:b/>
                <w:sz w:val="20"/>
              </w:rPr>
              <w:t>CIC Period</w:t>
            </w:r>
            <w:r>
              <w:rPr>
                <w:rFonts w:ascii="Times New Roman" w:hAnsi="Times New Roman"/>
                <w:sz w:val="20"/>
              </w:rPr>
              <w:t xml:space="preserve">” means the period beginning 3-months prior to a Change in Control and ending (i) for the Company’s Chief Executive Officer, 18 months following a Change in Control, and (ii) for all other Eligible Executives, 12 months following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pPr>
            <w:r>
              <w:rPr/>
              <w:t>“</w:t>
            </w:r>
            <w:r>
              <w:rPr>
                <w:rFonts w:ascii="Times New Roman" w:hAnsi="Times New Roman"/>
                <w:b/>
                <w:sz w:val="20"/>
              </w:rPr>
              <w:t>CIC Qualified Termination</w:t>
            </w:r>
            <w:r>
              <w:rPr>
                <w:rFonts w:ascii="Times New Roman" w:hAnsi="Times New Roman"/>
                <w:sz w:val="20"/>
              </w:rPr>
              <w:t xml:space="preserve">” means a termination of the Eligible Executive’s employment by the Company other than for Cause, death or Disability or resignation by the Eligible Executive for Good Reason, in either case, during the CIC Period. For the avoidance of doubt, a CIC Qualified Termination shall not include a termination of employment due to the Eligible Executive’s death, Disability or Transfer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1" w:type="dxa"/>
            <w:tcBorders/>
          </w:tcPr>
          <w:p>
            <w:pPr>
              <w:pStyle w:val="TableContents"/>
              <w:bidi w:val="0"/>
              <w:spacing w:before="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j.</w:t>
            </w:r>
          </w:p>
        </w:tc>
        <w:tc>
          <w:tcPr>
            <w:tcW w:w="8879" w:type="dxa"/>
            <w:tcBorders/>
          </w:tcPr>
          <w:p>
            <w:pPr>
              <w:pStyle w:val="TableContents"/>
              <w:bidi w:val="0"/>
              <w:spacing w:before="0" w:after="0"/>
              <w:jc w:val="left"/>
              <w:rPr/>
            </w:pPr>
            <w:r>
              <w:rPr/>
              <w:t>“</w:t>
            </w:r>
            <w:r>
              <w:rPr>
                <w:rFonts w:ascii="Times New Roman" w:hAnsi="Times New Roman"/>
                <w:b/>
                <w:sz w:val="20"/>
              </w:rPr>
              <w:t>Compensation Committee</w:t>
            </w:r>
            <w:r>
              <w:rPr>
                <w:rFonts w:ascii="Times New Roman" w:hAnsi="Times New Roman"/>
                <w:sz w:val="20"/>
              </w:rPr>
              <w:t xml:space="preserve">” means the Compensation and People Committee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pPr>
            <w:r>
              <w:rPr/>
              <w:t>“</w:t>
            </w:r>
            <w:r>
              <w:rPr>
                <w:rFonts w:ascii="Times New Roman" w:hAnsi="Times New Roman"/>
                <w:b/>
                <w:sz w:val="20"/>
              </w:rPr>
              <w:t>Disability</w:t>
            </w:r>
            <w:r>
              <w:rPr>
                <w:rFonts w:ascii="Times New Roman" w:hAnsi="Times New Roman"/>
                <w:sz w:val="20"/>
              </w:rPr>
              <w:t xml:space="preserve">” means an Eligible Executive’s inability to engage in any substantial gainful activity by reason of any medically determinable physical or mental impairment which can be expected to result in death or which has lasted or is reasonably expected to last for a continuous period of not less than 12 consecutive months, as determined by the Board on the basis of such medical evidence as the Board or the Administrator deems warranted under the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l.</w:t>
            </w:r>
          </w:p>
        </w:tc>
        <w:tc>
          <w:tcPr>
            <w:tcW w:w="8883" w:type="dxa"/>
            <w:tcBorders/>
          </w:tcPr>
          <w:p>
            <w:pPr>
              <w:pStyle w:val="TableContents"/>
              <w:bidi w:val="0"/>
              <w:spacing w:before="0" w:after="0"/>
              <w:jc w:val="left"/>
              <w:rPr/>
            </w:pPr>
            <w:r>
              <w:rPr/>
              <w:t>“</w:t>
            </w:r>
            <w:r>
              <w:rPr>
                <w:rFonts w:ascii="Times New Roman" w:hAnsi="Times New Roman"/>
                <w:b/>
                <w:sz w:val="20"/>
              </w:rPr>
              <w:t>EO Eligible Executive</w:t>
            </w:r>
            <w:r>
              <w:rPr>
                <w:rFonts w:ascii="Times New Roman" w:hAnsi="Times New Roman"/>
                <w:sz w:val="20"/>
              </w:rPr>
              <w:t xml:space="preserve">” means an Eligible Executive who, as of the time of a Qualified Termination or immediately prior to the Change in Control, has been designated by the Board as an “executive officer” of the Company within the meaning of Rule 3b-7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79" w:type="dxa"/>
            <w:tcBorders/>
          </w:tcPr>
          <w:p>
            <w:pPr>
              <w:pStyle w:val="TableContents"/>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n.</w:t>
            </w:r>
          </w:p>
        </w:tc>
        <w:tc>
          <w:tcPr>
            <w:tcW w:w="8881" w:type="dxa"/>
            <w:tcBorders/>
          </w:tcPr>
          <w:p>
            <w:pPr>
              <w:pStyle w:val="TableContents"/>
              <w:bidi w:val="0"/>
              <w:spacing w:before="0" w:after="0"/>
              <w:jc w:val="left"/>
              <w:rPr/>
            </w:pPr>
            <w:r>
              <w:rPr/>
              <w:t>“</w:t>
            </w:r>
            <w:r>
              <w:rPr>
                <w:rFonts w:ascii="Times New Roman" w:hAnsi="Times New Roman"/>
                <w:b/>
                <w:sz w:val="20"/>
              </w:rPr>
              <w:t>Good Reason</w:t>
            </w:r>
            <w:r>
              <w:rPr>
                <w:rFonts w:ascii="Times New Roman" w:hAnsi="Times New Roman"/>
                <w:sz w:val="20"/>
              </w:rPr>
              <w:t xml:space="preserve">” means, the occurrence of any of the following during a CIC Period: (i) solely with respect to an EO Eligible Executive, a material reduction in such EO Eligible Executive’s title, status or reporting relationship, (ii) a material reduction in an Eligible Executive’s authority, obligations or responsibilities, provided that a change in title or status alone (not accompanied by a change in authority, obligations or responsibilities) shall not constitute a material reduction; (iii) a reduction of an Eligible Executive’s base salary by more than 10%, except for across-the-board salary reductions similarly affecting all or substantially all similarly situated management personnel of the Company and its affiliates; or (iv) a material change in the geographic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location at which the Eligible Executive must perform services (for purposes of this definition, the relocation of the Eligible Executive to a facility or a location less than or equal to 35 miles from the Eligible Executive’s then-present location shall not be considered a material change in geographic location). An Eligible Executive’s resignation for Good Reason must occur within 12 months after one of the foregoing conditions has come into existence without the Eligible Executive’s consent. A resignation for Good Reason will not be deemed to have occurred unless the Eligible Executive gives the Company written notice of the condition within 90 days after the condition comes into existence and the Company fails to remedy the condition within 30 days after receiving the Eligible Executive’s written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w:t>
            </w:r>
          </w:p>
        </w:tc>
        <w:tc>
          <w:tcPr>
            <w:tcW w:w="8879" w:type="dxa"/>
            <w:tcBorders/>
          </w:tcPr>
          <w:p>
            <w:pPr>
              <w:pStyle w:val="TableContents"/>
              <w:bidi w:val="0"/>
              <w:spacing w:before="0" w:after="0"/>
              <w:jc w:val="left"/>
              <w:rPr/>
            </w:pPr>
            <w:r>
              <w:rPr/>
              <w:t>“</w:t>
            </w:r>
            <w:r>
              <w:rPr>
                <w:rFonts w:ascii="Times New Roman" w:hAnsi="Times New Roman"/>
                <w:b/>
                <w:sz w:val="20"/>
              </w:rPr>
              <w:t>Non-CIC Qualified Termination</w:t>
            </w:r>
            <w:r>
              <w:rPr>
                <w:rFonts w:ascii="Times New Roman" w:hAnsi="Times New Roman"/>
                <w:sz w:val="20"/>
              </w:rPr>
              <w:t xml:space="preserve">” means a termination of the Eligible Executive’s employment by the Company other than for Cause, death or Disability that does not occur during a CIC Period. For the avoidance of doubt, a Non-CIC Qualified Termination shall not include a termination of employment due to the Eligible Executive’s death, Disability or Transfer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p.</w:t>
            </w:r>
          </w:p>
        </w:tc>
        <w:tc>
          <w:tcPr>
            <w:tcW w:w="8879" w:type="dxa"/>
            <w:tcBorders/>
          </w:tcPr>
          <w:p>
            <w:pPr>
              <w:pStyle w:val="TableContents"/>
              <w:bidi w:val="0"/>
              <w:spacing w:before="0" w:after="0"/>
              <w:jc w:val="left"/>
              <w:rPr/>
            </w:pPr>
            <w:r>
              <w:rPr/>
              <w:t>“</w:t>
            </w:r>
            <w:r>
              <w:rPr>
                <w:rFonts w:ascii="Times New Roman" w:hAnsi="Times New Roman"/>
                <w:b/>
                <w:sz w:val="20"/>
              </w:rPr>
              <w:t>Qualified Termination</w:t>
            </w:r>
            <w:r>
              <w:rPr>
                <w:rFonts w:ascii="Times New Roman" w:hAnsi="Times New Roman"/>
                <w:sz w:val="20"/>
              </w:rPr>
              <w:t xml:space="preserve">” means a CIC Qualified Termination or a Non-CIC Qualified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q.</w:t>
            </w:r>
          </w:p>
        </w:tc>
        <w:tc>
          <w:tcPr>
            <w:tcW w:w="8880" w:type="dxa"/>
            <w:tcBorders/>
          </w:tcPr>
          <w:p>
            <w:pPr>
              <w:pStyle w:val="TableContents"/>
              <w:bidi w:val="0"/>
              <w:spacing w:before="0" w:after="0"/>
              <w:jc w:val="left"/>
              <w:rPr/>
            </w:pPr>
            <w:r>
              <w:rPr/>
              <w:t>“</w:t>
            </w:r>
            <w:r>
              <w:rPr>
                <w:rFonts w:ascii="Times New Roman" w:hAnsi="Times New Roman"/>
                <w:b/>
                <w:sz w:val="20"/>
              </w:rPr>
              <w:t>Target Incentive Compensation</w:t>
            </w:r>
            <w:r>
              <w:rPr>
                <w:rFonts w:ascii="Times New Roman" w:hAnsi="Times New Roman"/>
                <w:sz w:val="20"/>
              </w:rPr>
              <w:t xml:space="preserve">” means the Eligible Executive’s annualized target cash incentive compensation opportunity (expressed as a dollar amount) as in effect under the applicable cash incentive compensation plans (including any variable incentive compensation plan or other similar program) immediately prior to their Qualified Termination or, if their Qualified Termination is a CIC Qualified Termination and such amount is greater, at the level in effect immediately prior to the Change in Control. Without limiting the generality of the foregoing, if the Company’s cash incentive compensation plan provides for semi-annual or sub-annual performance periods, the Target Incentive Compensation shall be calculated on an annualized basis without regard to the bifurcation of such performance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w:t>
            </w:r>
          </w:p>
        </w:tc>
        <w:tc>
          <w:tcPr>
            <w:tcW w:w="8880" w:type="dxa"/>
            <w:tcBorders/>
          </w:tcPr>
          <w:p>
            <w:pPr>
              <w:pStyle w:val="TableContents"/>
              <w:bidi w:val="0"/>
              <w:spacing w:before="0" w:after="0"/>
              <w:jc w:val="left"/>
              <w:rPr/>
            </w:pPr>
            <w:r>
              <w:rPr/>
              <w:t>“</w:t>
            </w:r>
            <w:r>
              <w:rPr>
                <w:rFonts w:ascii="Times New Roman" w:hAnsi="Times New Roman"/>
                <w:b/>
                <w:sz w:val="20"/>
              </w:rPr>
              <w:t>Transfer of Employment</w:t>
            </w:r>
            <w:r>
              <w:rPr>
                <w:rFonts w:ascii="Times New Roman" w:hAnsi="Times New Roman"/>
                <w:sz w:val="20"/>
              </w:rPr>
              <w:t xml:space="preserve">” means an Eligible Executive’s termination of employment due to a transfer of employment (a) from the Company to an Affiliate, (b) from an Affiliate to the Company, or (c) from one Affiliate to another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Additional Information</w:t>
            </w:r>
            <w:r>
              <w:rPr>
                <w:rFonts w:ascii="Times New Roman" w:hAnsi="Times New Roman"/>
                <w:sz w:val="20"/>
              </w:rPr>
              <w:t xml:space="preserve">. </w:t>
            </w:r>
          </w:p>
        </w:tc>
      </w:tr>
    </w:tbl>
    <w:p>
      <w:pPr>
        <w:pStyle w:val="TextBody"/>
        <w:bidi w:val="0"/>
        <w:spacing w:before="0" w:after="0"/>
        <w:jc w:val="left"/>
        <w:rPr/>
      </w:pPr>
      <w:r>
        <w:rPr/>
        <w:t> </w:t>
      </w:r>
    </w:p>
    <w:tbl>
      <w:tblPr>
        <w:tblW w:w="4350" w:type="pct"/>
        <w:jc w:val="right"/>
        <w:tblInd w:w="0" w:type="dxa"/>
        <w:tblLayout w:type="fixed"/>
        <w:tblCellMar>
          <w:top w:w="0" w:type="dxa"/>
          <w:left w:w="0" w:type="dxa"/>
          <w:bottom w:w="0" w:type="dxa"/>
          <w:right w:w="0" w:type="dxa"/>
        </w:tblCellMar>
      </w:tblPr>
      <w:tblGrid>
        <w:gridCol w:w="1775"/>
        <w:gridCol w:w="177"/>
        <w:gridCol w:w="6926"/>
      </w:tblGrid>
      <w:tr>
        <w:trPr/>
        <w:tc>
          <w:tcPr>
            <w:tcW w:w="177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926" w:type="dxa"/>
            <w:tcBorders/>
            <w:vAlign w:val="center"/>
          </w:tcPr>
          <w:p>
            <w:pPr>
              <w:pStyle w:val="TableContents"/>
              <w:bidi w:val="0"/>
              <w:spacing w:before="0" w:after="283"/>
              <w:jc w:val="left"/>
              <w:rPr>
                <w:sz w:val="4"/>
                <w:szCs w:val="4"/>
              </w:rPr>
            </w:pPr>
            <w:r>
              <w:rPr>
                <w:sz w:val="4"/>
                <w:szCs w:val="4"/>
              </w:rPr>
            </w:r>
          </w:p>
        </w:tc>
      </w:tr>
      <w:tr>
        <w:trPr/>
        <w:tc>
          <w:tcPr>
            <w:tcW w:w="1775" w:type="dxa"/>
            <w:tcBorders/>
          </w:tcPr>
          <w:p>
            <w:pPr>
              <w:pStyle w:val="TableContents"/>
              <w:bidi w:val="0"/>
              <w:spacing w:before="0" w:after="283"/>
              <w:jc w:val="left"/>
              <w:rPr>
                <w:b/>
              </w:rPr>
            </w:pPr>
            <w:r>
              <w:rPr>
                <w:b/>
              </w:rPr>
              <w:t>Plan Administrator:</w:t>
            </w:r>
          </w:p>
        </w:tc>
        <w:tc>
          <w:tcPr>
            <w:tcW w:w="177" w:type="dxa"/>
            <w:tcBorders/>
            <w:vAlign w:val="bottom"/>
          </w:tcPr>
          <w:p>
            <w:pPr>
              <w:pStyle w:val="TableContents"/>
              <w:bidi w:val="0"/>
              <w:spacing w:before="0" w:after="283"/>
              <w:jc w:val="left"/>
              <w:rPr/>
            </w:pPr>
            <w:r>
              <w:rPr/>
              <w:t>  </w:t>
            </w:r>
          </w:p>
        </w:tc>
        <w:tc>
          <w:tcPr>
            <w:tcW w:w="6926" w:type="dxa"/>
            <w:tcBorders/>
          </w:tcPr>
          <w:p>
            <w:pPr>
              <w:pStyle w:val="TableContents"/>
              <w:bidi w:val="0"/>
              <w:spacing w:before="0" w:after="0"/>
              <w:jc w:val="left"/>
              <w:rPr>
                <w:rFonts w:ascii="Times New Roman" w:hAnsi="Times New Roman"/>
                <w:sz w:val="20"/>
              </w:rPr>
            </w:pPr>
            <w:r>
              <w:rPr>
                <w:rFonts w:ascii="Times New Roman" w:hAnsi="Times New Roman"/>
                <w:sz w:val="20"/>
              </w:rPr>
              <w:t>Palo Alto Networks, Inc.</w:t>
            </w:r>
          </w:p>
          <w:p>
            <w:pPr>
              <w:pStyle w:val="TableContents"/>
              <w:bidi w:val="0"/>
              <w:spacing w:before="0" w:after="0"/>
              <w:jc w:val="left"/>
              <w:rPr>
                <w:rFonts w:ascii="Times New Roman" w:hAnsi="Times New Roman"/>
                <w:sz w:val="20"/>
              </w:rPr>
            </w:pPr>
            <w:r>
              <w:rPr>
                <w:rFonts w:ascii="Times New Roman" w:hAnsi="Times New Roman"/>
                <w:i/>
                <w:sz w:val="20"/>
              </w:rPr>
              <w:t>Attention:</w:t>
            </w:r>
            <w:r>
              <w:rPr>
                <w:rFonts w:ascii="Times New Roman" w:hAnsi="Times New Roman"/>
                <w:sz w:val="20"/>
              </w:rPr>
              <w:t xml:space="preserve"> Plan Administrator of the Palo Alto Networks, Inc. Executive Change in Control and Severance Policy</w:t>
            </w:r>
          </w:p>
          <w:p>
            <w:pPr>
              <w:pStyle w:val="TableContents"/>
              <w:bidi w:val="0"/>
              <w:spacing w:before="0" w:after="0"/>
              <w:jc w:val="left"/>
              <w:rPr>
                <w:rFonts w:ascii="Times New Roman" w:hAnsi="Times New Roman"/>
                <w:sz w:val="20"/>
              </w:rPr>
            </w:pPr>
            <w:r>
              <w:rPr>
                <w:rFonts w:ascii="Times New Roman" w:hAnsi="Times New Roman"/>
                <w:sz w:val="20"/>
              </w:rPr>
              <w:t>3000 Tannery Way</w:t>
            </w:r>
          </w:p>
          <w:p>
            <w:pPr>
              <w:pStyle w:val="TableContents"/>
              <w:bidi w:val="0"/>
              <w:spacing w:before="0" w:after="20"/>
              <w:jc w:val="left"/>
              <w:rPr>
                <w:rFonts w:ascii="Times New Roman" w:hAnsi="Times New Roman"/>
                <w:sz w:val="20"/>
              </w:rPr>
            </w:pPr>
            <w:r>
              <w:rPr>
                <w:rFonts w:ascii="Times New Roman" w:hAnsi="Times New Roman"/>
                <w:sz w:val="20"/>
              </w:rPr>
              <w:t>Santa Clara, California 95054</w:t>
            </w:r>
          </w:p>
        </w:tc>
      </w:tr>
      <w:tr>
        <w:trPr>
          <w:trHeight w:val="120" w:hRule="atLeast"/>
        </w:trPr>
        <w:tc>
          <w:tcPr>
            <w:tcW w:w="1775" w:type="dxa"/>
            <w:tcBorders/>
            <w:vAlign w:val="center"/>
          </w:tcPr>
          <w:p>
            <w:pPr>
              <w:pStyle w:val="TableContents"/>
              <w:bidi w:val="0"/>
              <w:spacing w:before="0" w:after="283"/>
              <w:jc w:val="left"/>
              <w:rPr>
                <w:sz w:val="4"/>
                <w:szCs w:val="4"/>
              </w:rPr>
            </w:pPr>
            <w:r>
              <w:rPr>
                <w:sz w:val="4"/>
                <w:szCs w:val="4"/>
              </w:rPr>
            </w:r>
          </w:p>
        </w:tc>
        <w:tc>
          <w:tcPr>
            <w:tcW w:w="7103"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tcPr>
          <w:p>
            <w:pPr>
              <w:pStyle w:val="TableContents"/>
              <w:bidi w:val="0"/>
              <w:spacing w:before="0" w:after="283"/>
              <w:jc w:val="left"/>
              <w:rPr>
                <w:b/>
              </w:rPr>
            </w:pPr>
            <w:r>
              <w:rPr>
                <w:b/>
              </w:rPr>
              <w:t>Agent for Service of Legal Process:</w:t>
            </w:r>
          </w:p>
        </w:tc>
        <w:tc>
          <w:tcPr>
            <w:tcW w:w="177" w:type="dxa"/>
            <w:tcBorders/>
            <w:vAlign w:val="bottom"/>
          </w:tcPr>
          <w:p>
            <w:pPr>
              <w:pStyle w:val="TableContents"/>
              <w:bidi w:val="0"/>
              <w:spacing w:before="0" w:after="283"/>
              <w:jc w:val="left"/>
              <w:rPr/>
            </w:pPr>
            <w:r>
              <w:rPr/>
              <w:t>  </w:t>
            </w:r>
          </w:p>
        </w:tc>
        <w:tc>
          <w:tcPr>
            <w:tcW w:w="6926" w:type="dxa"/>
            <w:tcBorders/>
          </w:tcPr>
          <w:p>
            <w:pPr>
              <w:pStyle w:val="TableContents"/>
              <w:bidi w:val="0"/>
              <w:spacing w:before="0" w:after="0"/>
              <w:jc w:val="left"/>
              <w:rPr>
                <w:rFonts w:ascii="Times New Roman" w:hAnsi="Times New Roman"/>
                <w:sz w:val="20"/>
              </w:rPr>
            </w:pPr>
            <w:r>
              <w:rPr>
                <w:rFonts w:ascii="Times New Roman" w:hAnsi="Times New Roman"/>
                <w:sz w:val="20"/>
              </w:rPr>
              <w:t>Palo Alto Networks, Inc.</w:t>
            </w:r>
          </w:p>
          <w:p>
            <w:pPr>
              <w:pStyle w:val="TableContents"/>
              <w:bidi w:val="0"/>
              <w:spacing w:before="0" w:after="0"/>
              <w:jc w:val="left"/>
              <w:rPr>
                <w:rFonts w:ascii="Times New Roman" w:hAnsi="Times New Roman"/>
                <w:sz w:val="20"/>
              </w:rPr>
            </w:pPr>
            <w:r>
              <w:rPr>
                <w:rFonts w:ascii="Times New Roman" w:hAnsi="Times New Roman"/>
                <w:sz w:val="20"/>
              </w:rPr>
              <w:t>Attention: General Counsel</w:t>
            </w:r>
          </w:p>
          <w:p>
            <w:pPr>
              <w:pStyle w:val="TableContents"/>
              <w:bidi w:val="0"/>
              <w:spacing w:before="0" w:after="0"/>
              <w:jc w:val="left"/>
              <w:rPr>
                <w:rFonts w:ascii="Times New Roman" w:hAnsi="Times New Roman"/>
                <w:sz w:val="20"/>
              </w:rPr>
            </w:pPr>
            <w:r>
              <w:rPr>
                <w:rFonts w:ascii="Times New Roman" w:hAnsi="Times New Roman"/>
                <w:sz w:val="20"/>
              </w:rPr>
              <w:t>3000 Tannery Way</w:t>
            </w:r>
          </w:p>
          <w:p>
            <w:pPr>
              <w:pStyle w:val="TableContents"/>
              <w:bidi w:val="0"/>
              <w:spacing w:before="0" w:after="0"/>
              <w:jc w:val="left"/>
              <w:rPr>
                <w:rFonts w:ascii="Times New Roman" w:hAnsi="Times New Roman"/>
                <w:sz w:val="20"/>
              </w:rPr>
            </w:pPr>
            <w:r>
              <w:rPr>
                <w:rFonts w:ascii="Times New Roman" w:hAnsi="Times New Roman"/>
                <w:sz w:val="20"/>
              </w:rPr>
              <w:t>Santa Clara, California 95054</w:t>
            </w:r>
          </w:p>
          <w:p>
            <w:pPr>
              <w:pStyle w:val="TableContents"/>
              <w:bidi w:val="0"/>
              <w:spacing w:before="0" w:after="20"/>
              <w:jc w:val="left"/>
              <w:rPr>
                <w:rFonts w:ascii="Times New Roman" w:hAnsi="Times New Roman"/>
                <w:sz w:val="20"/>
              </w:rPr>
            </w:pPr>
            <w:r>
              <w:rPr>
                <w:rFonts w:ascii="Times New Roman" w:hAnsi="Times New Roman"/>
                <w:sz w:val="20"/>
              </w:rPr>
              <w:t>Service of process may also be made upon the Plan Administrator.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Change in Control and Severance Policy Participation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240" w:after="0"/>
        <w:jc w:val="left"/>
        <w:rPr>
          <w:rFonts w:ascii="Times New Roman" w:hAnsi="Times New Roman"/>
          <w:sz w:val="20"/>
        </w:rPr>
      </w:pPr>
      <w:r>
        <w:rPr>
          <w:rFonts w:ascii="Times New Roman" w:hAnsi="Times New Roman"/>
          <w:sz w:val="20"/>
        </w:rPr>
        <w:t>This Participation Agreement (“</w:t>
      </w:r>
      <w:r>
        <w:rPr>
          <w:rFonts w:ascii="Times New Roman" w:hAnsi="Times New Roman"/>
          <w:b/>
          <w:sz w:val="20"/>
        </w:rPr>
        <w:t>Agreement</w:t>
      </w:r>
      <w:r>
        <w:rPr>
          <w:rFonts w:ascii="Times New Roman" w:hAnsi="Times New Roman"/>
          <w:sz w:val="20"/>
        </w:rPr>
        <w:t>”) is made and entered into by and between the undersigned on the one hand, and Palo Alto Networks, Inc. (the “</w:t>
      </w:r>
      <w:r>
        <w:rPr>
          <w:rFonts w:ascii="Times New Roman" w:hAnsi="Times New Roman"/>
          <w:b/>
          <w:sz w:val="20"/>
        </w:rPr>
        <w:t>Company</w:t>
      </w:r>
      <w:r>
        <w:rPr>
          <w:rFonts w:ascii="Times New Roman" w:hAnsi="Times New Roman"/>
          <w:sz w:val="20"/>
        </w:rPr>
        <w:t xml:space="preserve">”) on the other. </w:t>
      </w:r>
    </w:p>
    <w:p>
      <w:pPr>
        <w:pStyle w:val="TextBody"/>
        <w:bidi w:val="0"/>
        <w:spacing w:before="240" w:after="0"/>
        <w:jc w:val="left"/>
        <w:rPr>
          <w:rFonts w:ascii="Times New Roman" w:hAnsi="Times New Roman"/>
          <w:sz w:val="20"/>
        </w:rPr>
      </w:pPr>
      <w:r>
        <w:rPr>
          <w:rFonts w:ascii="Times New Roman" w:hAnsi="Times New Roman"/>
          <w:sz w:val="20"/>
        </w:rPr>
        <w:t>You have been designated as eligible to participate in the Company’s Change in Control and Severance Policy (the “</w:t>
      </w:r>
      <w:r>
        <w:rPr>
          <w:rFonts w:ascii="Times New Roman" w:hAnsi="Times New Roman"/>
          <w:b/>
          <w:sz w:val="20"/>
        </w:rPr>
        <w:t>Policy</w:t>
      </w:r>
      <w:r>
        <w:rPr>
          <w:rFonts w:ascii="Times New Roman" w:hAnsi="Times New Roman"/>
          <w:sz w:val="20"/>
        </w:rPr>
        <w:t xml:space="preserve">”), a copy of which is attached hereto, under which you are eligible to receive the following severance payments and benefits upon a Qualified Termination, subject to the terms and conditions of the Policy. Capitalized terms which are not otherwise defined in this Agreement shall have the meaning ascribed to such terms in the Policy. </w:t>
      </w:r>
    </w:p>
    <w:p>
      <w:pPr>
        <w:pStyle w:val="TextBody"/>
        <w:bidi w:val="0"/>
        <w:spacing w:before="360" w:after="0"/>
        <w:jc w:val="left"/>
        <w:rPr>
          <w:rFonts w:ascii="Times New Roman" w:hAnsi="Times New Roman"/>
          <w:b/>
          <w:sz w:val="20"/>
        </w:rPr>
      </w:pPr>
      <w:r>
        <w:rPr>
          <w:rFonts w:ascii="Times New Roman" w:hAnsi="Times New Roman"/>
          <w:b/>
          <w:sz w:val="20"/>
        </w:rPr>
        <w:t xml:space="preserve">Non-CIC Qualified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your Qualified Termination is a Non-CIC Qualified Termination, you will be entitled to the following benefits in addition to any Accrued Amounts, subject to your compliance with the Policy, including, other than in respect of the Accrued Amounts, your timely execution and non-revocation of the Release in accordance with the terms of the Policy and the additional requirements specified in the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Salary Severance:</w:t>
            </w:r>
            <w:r>
              <w:rPr>
                <w:rFonts w:ascii="Times New Roman" w:hAnsi="Times New Roman"/>
                <w:sz w:val="20"/>
              </w:rPr>
              <w:t xml:space="preserve"> Your percentage of Base Salary will be 100%, payable in equal installments over 12 months in accordance with the Company’s regular payroll procedures; provided that, the first installment shall not be paid until the first regularly scheduled payroll date following the date on which the Release becomes effective and irrevocable, and such first installment shall include all amounts that would have been paid to you between the date of your Qualified Termination and such first payment date had no delay applied.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Cash Incentive Severance:</w:t>
            </w:r>
            <w:r>
              <w:rPr>
                <w:rFonts w:ascii="Times New Roman" w:hAnsi="Times New Roman"/>
                <w:sz w:val="20"/>
              </w:rPr>
              <w:t xml:space="preserve"> You will receive a lump-sum payment equal to the sum of (i) 100% of your Target Incentive Compensation, prorated based on the number of days elapsed from the first day of the fiscal year in which such Qualified Termination occurs through the date of your Qualified Termination, divided by the total number of calendar days in such fiscal year, </w:t>
            </w:r>
            <w:r>
              <w:rPr>
                <w:rFonts w:ascii="Times New Roman" w:hAnsi="Times New Roman"/>
                <w:i/>
                <w:sz w:val="20"/>
              </w:rPr>
              <w:t>minus</w:t>
            </w:r>
            <w:r>
              <w:rPr>
                <w:rFonts w:ascii="Times New Roman" w:hAnsi="Times New Roman"/>
                <w:sz w:val="20"/>
              </w:rPr>
              <w:t xml:space="preserve"> the amount of any actual cash incentive compensation award paid to you for a semi-annual or sub-annual performance period that occurs during such fiscal year (such semi-annual or sub-annual cash incentive compensation award, the “Partial Year Payment”), and (ii) to the extent the cash incentive award for the prior fiscal year has not been paid as of the date of a Qualified Termination, 100% of your Target Incentive Compensation for such prior fiscal year </w:t>
            </w:r>
            <w:r>
              <w:rPr>
                <w:rFonts w:ascii="Times New Roman" w:hAnsi="Times New Roman"/>
                <w:i/>
                <w:sz w:val="20"/>
              </w:rPr>
              <w:t>minus</w:t>
            </w:r>
            <w:r>
              <w:rPr>
                <w:rFonts w:ascii="Times New Roman" w:hAnsi="Times New Roman"/>
                <w:sz w:val="20"/>
              </w:rPr>
              <w:t xml:space="preserve"> the amount of any actual Partial Year Payment for such prior fiscal year, in each case, payable, subject to Section 8 of the Policy, when cash incentive compensation amounts are generally next paid to similarly-situated employees or, if later, the first regularly scheduled payroll date following the date on which the Release becomes effective and irrevocable.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Health Benefit</w:t>
            </w:r>
            <w:r>
              <w:rPr>
                <w:rFonts w:ascii="Times New Roman" w:hAnsi="Times New Roman"/>
                <w:sz w:val="20"/>
              </w:rPr>
              <w:t xml:space="preserve"> </w:t>
            </w:r>
            <w:r>
              <w:rPr>
                <w:rFonts w:ascii="Times New Roman" w:hAnsi="Times New Roman"/>
                <w:b/>
                <w:sz w:val="20"/>
              </w:rPr>
              <w:t>Severance:</w:t>
            </w:r>
            <w:r>
              <w:rPr>
                <w:rFonts w:ascii="Times New Roman" w:hAnsi="Times New Roman"/>
                <w:sz w:val="20"/>
              </w:rPr>
              <w:t xml:space="preserve"> You will receive a lump-sum payment with the number of months used to calculate the Taxable Payment equal to 12 payable no later than the 60th day following the date of your Qualified Termination or, if later, the first regularly scheduled payroll date following the date on which the Release becomes effective and irrevocable.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Equity Benefits:</w:t>
            </w:r>
            <w:r>
              <w:rPr>
                <w:rFonts w:ascii="Times New Roman" w:hAnsi="Times New Roman"/>
                <w:sz w:val="20"/>
              </w:rPr>
              <w:t xml:space="preserve"> Unless specifically provided otherwise by the Compensation Committee for an equity award at the time of grant: (i) any time-based equity awards that are outstanding and unvested as of the date of your Non-CIC Qualified Termination (including equity awards initially granted subject to performance-based conditions which have had their performance-based conditions achieved on their respective terms and conditions as of the termination date such that the equity award remains subject only to time-based vesting as of the termination date) that otherwise would have vested had you remained employed during the 12-month period following the date of the Non-CIC Qualified Termination shall immediately vest, and (ii) equity awards that are or remain subject to performance-based vesting conditions shall remain outstanding and shall vest as to the portion of the award that otherwise would have vested had you remained employed during the 12-month period following the date of the Non-CIC Qualified Termination (the “</w:t>
            </w:r>
            <w:r>
              <w:rPr>
                <w:rFonts w:ascii="Times New Roman" w:hAnsi="Times New Roman"/>
                <w:b/>
                <w:sz w:val="20"/>
              </w:rPr>
              <w:t>Tail Period</w:t>
            </w:r>
            <w:r>
              <w:rPr>
                <w:rFonts w:ascii="Times New Roman" w:hAnsi="Times New Roman"/>
                <w:sz w:val="20"/>
              </w:rPr>
              <w:t xml:space="preserve">”) based on actual achievement of the performance criteria upon the completion of the applicable performance period (unless otherwise set forth in the individual performance-based award agreement), </w:t>
            </w:r>
            <w:r>
              <w:rPr>
                <w:rFonts w:ascii="Times New Roman" w:hAnsi="Times New Roman"/>
                <w:i/>
                <w:sz w:val="20"/>
              </w:rPr>
              <w:t>provided</w:t>
            </w:r>
            <w:r>
              <w:rPr>
                <w:rFonts w:ascii="Times New Roman" w:hAnsi="Times New Roman"/>
                <w:sz w:val="20"/>
              </w:rPr>
              <w:t xml:space="preserve"> that no shares subject to an equity award shall vest pursuant to a performance period that would not have concluded by the end of the Tail Period, and any portion of the equity award that remains unvested upon the completion of the applicable performance period shall be cancelled without payment of any consideration to the Eligible Executive.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CIC Qualified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your Qualified Termination is a CIC Qualified Termination, you will be entitled to the following benefits in addition to any Accrued Amounts, subject to your compliance with the Policy, including, other than in respect of the Accrued Amounts, your timely execution and non-revocation of the Release in accordance with the terms of the Policy and the additional requirements specified in the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Salary Severance:</w:t>
            </w:r>
            <w:r>
              <w:rPr>
                <w:rFonts w:ascii="Times New Roman" w:hAnsi="Times New Roman"/>
                <w:sz w:val="20"/>
              </w:rPr>
              <w:t xml:space="preserve"> Your percentage of Base Salary will be 200%, payable in a lump-sum.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Cash Incentive Severance:</w:t>
            </w:r>
            <w:r>
              <w:rPr>
                <w:rFonts w:ascii="Times New Roman" w:hAnsi="Times New Roman"/>
                <w:sz w:val="20"/>
              </w:rPr>
              <w:t xml:space="preserve"> You will receive a lump-sum payment equal to 200% of your Target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Health Benefit</w:t>
            </w:r>
            <w:r>
              <w:rPr>
                <w:rFonts w:ascii="Times New Roman" w:hAnsi="Times New Roman"/>
                <w:sz w:val="20"/>
              </w:rPr>
              <w:t xml:space="preserve"> </w:t>
            </w:r>
            <w:r>
              <w:rPr>
                <w:rFonts w:ascii="Times New Roman" w:hAnsi="Times New Roman"/>
                <w:b/>
                <w:sz w:val="20"/>
              </w:rPr>
              <w:t>Severance:</w:t>
            </w:r>
            <w:r>
              <w:rPr>
                <w:rFonts w:ascii="Times New Roman" w:hAnsi="Times New Roman"/>
                <w:sz w:val="20"/>
              </w:rPr>
              <w:t xml:space="preserve"> You will receive a lump-sum payment with the number of months used to calculate the Taxable Payment equal to 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Equity Benefits:</w:t>
            </w:r>
            <w:r>
              <w:rPr>
                <w:rFonts w:ascii="Times New Roman" w:hAnsi="Times New Roman"/>
                <w:sz w:val="20"/>
              </w:rPr>
              <w:t xml:space="preserve"> Unless specifically provided otherwise by the Compensation Committee for an equity award at the time of grant, you will receive vesting acceleration as to 100% of any equity awards that are outstanding and unvested as of the date of your CIC Qualified Termination, </w:t>
            </w:r>
            <w:r>
              <w:rPr>
                <w:rFonts w:ascii="Times New Roman" w:hAnsi="Times New Roman"/>
                <w:i/>
                <w:sz w:val="20"/>
              </w:rPr>
              <w:t>provided</w:t>
            </w:r>
            <w:r>
              <w:rPr>
                <w:rFonts w:ascii="Times New Roman" w:hAnsi="Times New Roman"/>
                <w:sz w:val="20"/>
              </w:rPr>
              <w:t xml:space="preserve"> that the treatment of performance conditions for equity awards that are or remain subject to performance-based vesting conditions upon a Change in Control shall be set forth in the individual performance-based award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Policy, including the provisions related to the Release Requirement, your Salary Severance, Cash Incentive Severance and Health Benefit Severance will be payable no later than the 60th day following the date of your CIC Qualified Termination or, if later, the first regularly scheduled payroll date following the date on which the Release becomes effective and irrevocable.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you have a Qualified Termination, the Company will not provide you with any benefits under the Company’s Continued Service Policy.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You agree that the Policy and this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in control provisions of any offer letter, employment agreement, or equity award agreement entered into between you and the Company, other than as set forth in a Superseding Equity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counterparts, each of which will be deemed an original, but all of which together will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By its signature below, each of the parties signifies its acceptance of the terms of this Agreement, in the case of the Company by its duly authorized officer effective as of the last date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3"/>
        <w:gridCol w:w="168"/>
        <w:gridCol w:w="3195"/>
        <w:gridCol w:w="121"/>
        <w:gridCol w:w="334"/>
        <w:gridCol w:w="163"/>
        <w:gridCol w:w="1561"/>
        <w:gridCol w:w="139"/>
        <w:gridCol w:w="3251"/>
      </w:tblGrid>
      <w:tr>
        <w:trPr/>
        <w:tc>
          <w:tcPr>
            <w:tcW w:w="1273"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Pr>
          <w:p>
            <w:pPr>
              <w:pStyle w:val="TableContents"/>
              <w:bidi w:val="0"/>
              <w:spacing w:before="0" w:after="283"/>
              <w:jc w:val="left"/>
              <w:rPr>
                <w:b/>
              </w:rPr>
            </w:pPr>
            <w:r>
              <w:rPr>
                <w:b/>
              </w:rPr>
              <w:t>PALO ALTO NETWORKS, INC.</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4951" w:type="dxa"/>
            <w:gridSpan w:val="3"/>
            <w:tcBorders/>
          </w:tcPr>
          <w:p>
            <w:pPr>
              <w:pStyle w:val="TableContents"/>
              <w:bidi w:val="0"/>
              <w:spacing w:before="0" w:after="283"/>
              <w:jc w:val="left"/>
              <w:rPr>
                <w:b/>
              </w:rPr>
            </w:pPr>
            <w:r>
              <w:rPr>
                <w:b/>
              </w:rPr>
              <w:t>ELIGIBLE EXECUTIVE</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pPr>
            <w:r>
              <w:rPr/>
              <w:t>By:</w:t>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Signature: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pPr>
            <w:r>
              <w:rPr/>
              <w:t>Name:</w:t>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pPr>
            <w:r>
              <w:rPr/>
              <w:t>Title:</w:t>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Title: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Date: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Change in Control and Severance Policy Participation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Officers (other than the Chief Executive Officer) and Executive Vice Presidents) </w:t>
      </w:r>
    </w:p>
    <w:p>
      <w:pPr>
        <w:pStyle w:val="TextBody"/>
        <w:bidi w:val="0"/>
        <w:spacing w:before="240" w:after="0"/>
        <w:jc w:val="left"/>
        <w:rPr>
          <w:rFonts w:ascii="Times New Roman" w:hAnsi="Times New Roman"/>
          <w:sz w:val="20"/>
        </w:rPr>
      </w:pPr>
      <w:r>
        <w:rPr>
          <w:rFonts w:ascii="Times New Roman" w:hAnsi="Times New Roman"/>
          <w:sz w:val="20"/>
        </w:rPr>
        <w:t>This Participation Agreement (“</w:t>
      </w:r>
      <w:r>
        <w:rPr>
          <w:rFonts w:ascii="Times New Roman" w:hAnsi="Times New Roman"/>
          <w:b/>
          <w:sz w:val="20"/>
        </w:rPr>
        <w:t>Agreement</w:t>
      </w:r>
      <w:r>
        <w:rPr>
          <w:rFonts w:ascii="Times New Roman" w:hAnsi="Times New Roman"/>
          <w:sz w:val="20"/>
        </w:rPr>
        <w:t>”) is made and entered into by and between the undersigned on the one hand, and Palo Alto Networks, Inc. (the “</w:t>
      </w:r>
      <w:r>
        <w:rPr>
          <w:rFonts w:ascii="Times New Roman" w:hAnsi="Times New Roman"/>
          <w:b/>
          <w:sz w:val="20"/>
        </w:rPr>
        <w:t>Company</w:t>
      </w:r>
      <w:r>
        <w:rPr>
          <w:rFonts w:ascii="Times New Roman" w:hAnsi="Times New Roman"/>
          <w:sz w:val="20"/>
        </w:rPr>
        <w:t xml:space="preserve">”) on the other. </w:t>
      </w:r>
    </w:p>
    <w:p>
      <w:pPr>
        <w:pStyle w:val="TextBody"/>
        <w:bidi w:val="0"/>
        <w:spacing w:before="240" w:after="0"/>
        <w:jc w:val="left"/>
        <w:rPr>
          <w:rFonts w:ascii="Times New Roman" w:hAnsi="Times New Roman"/>
          <w:sz w:val="20"/>
        </w:rPr>
      </w:pPr>
      <w:r>
        <w:rPr>
          <w:rFonts w:ascii="Times New Roman" w:hAnsi="Times New Roman"/>
          <w:sz w:val="20"/>
        </w:rPr>
        <w:t>You have been designated as eligible to participate in the Company’s Change in Control and Severance Policy (the “</w:t>
      </w:r>
      <w:r>
        <w:rPr>
          <w:rFonts w:ascii="Times New Roman" w:hAnsi="Times New Roman"/>
          <w:b/>
          <w:sz w:val="20"/>
        </w:rPr>
        <w:t>Policy</w:t>
      </w:r>
      <w:r>
        <w:rPr>
          <w:rFonts w:ascii="Times New Roman" w:hAnsi="Times New Roman"/>
          <w:sz w:val="20"/>
        </w:rPr>
        <w:t xml:space="preserve">”), a copy of which is attached hereto, under which you are eligible to receive the following severance payments and benefits upon a Qualified Termination, subject to the terms and conditions of the Policy. Capitalized terms which are not otherwise defined in this Agreement shall have the meaning ascribed to such terms in the Policy. </w:t>
      </w:r>
    </w:p>
    <w:p>
      <w:pPr>
        <w:pStyle w:val="TextBody"/>
        <w:bidi w:val="0"/>
        <w:spacing w:before="360" w:after="0"/>
        <w:jc w:val="left"/>
        <w:rPr>
          <w:rFonts w:ascii="Times New Roman" w:hAnsi="Times New Roman"/>
          <w:b/>
          <w:sz w:val="20"/>
        </w:rPr>
      </w:pPr>
      <w:r>
        <w:rPr>
          <w:rFonts w:ascii="Times New Roman" w:hAnsi="Times New Roman"/>
          <w:b/>
          <w:sz w:val="20"/>
        </w:rPr>
        <w:t xml:space="preserve">Non-CIC Qualified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your Qualified Termination is a Non-CIC Qualified Termination, you will be entitled to the following benefits in addition to any Accrued Amounts, subject to your compliance with the Policy, including, other than in respect of the Accrued Amounts, your timely execution and non-revocation of the Release in accordance with the terms of the Policy and the additional requirements specified in the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Salary Severance:</w:t>
            </w:r>
            <w:r>
              <w:rPr>
                <w:rFonts w:ascii="Times New Roman" w:hAnsi="Times New Roman"/>
                <w:sz w:val="20"/>
              </w:rPr>
              <w:t xml:space="preserve"> Your percentage of Base Salary will be 100%, payable in equal installments over 12 months in accordance with the Company’s regular payroll procedures; provided that, the first installment shall not be paid until the first regularly scheduled payroll date following the date on which the Release becomes effective and irrevocable, and such first installment shall include all amounts that would have been paid to you between the date of your Qualified Termination and such first payment date had no delay applied.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Cash Incentive Severance:</w:t>
            </w:r>
            <w:r>
              <w:rPr>
                <w:rFonts w:ascii="Times New Roman" w:hAnsi="Times New Roman"/>
                <w:sz w:val="20"/>
              </w:rPr>
              <w:t xml:space="preserve"> You will receive a lump-sum payment equal to the sum of (i) 100% of your Target Incentive Compensation, prorated based on the number of days elapsed from the first day of the fiscal year in which such Qualified Termination occurs through the date of your Qualified Termination, divided by the total number of calendar days in such fiscal year, </w:t>
            </w:r>
            <w:r>
              <w:rPr>
                <w:rFonts w:ascii="Times New Roman" w:hAnsi="Times New Roman"/>
                <w:i/>
                <w:sz w:val="20"/>
              </w:rPr>
              <w:t>minus</w:t>
            </w:r>
            <w:r>
              <w:rPr>
                <w:rFonts w:ascii="Times New Roman" w:hAnsi="Times New Roman"/>
                <w:sz w:val="20"/>
              </w:rPr>
              <w:t xml:space="preserve"> the amount of any actual cash incentive compensation award paid to you for a semi-annual or sub-annual performance period that occurs during such fiscal year (such semi-annual or sub-annual cash incentive compensation award, the “Partial Year Payment”), and (ii) to the extent the cash incentive award for the prior fiscal year has not been paid as of the date of a Qualified Termination, 100% of your Target Incentive Compensation for such prior fiscal year </w:t>
            </w:r>
            <w:r>
              <w:rPr>
                <w:rFonts w:ascii="Times New Roman" w:hAnsi="Times New Roman"/>
                <w:i/>
                <w:sz w:val="20"/>
              </w:rPr>
              <w:t>minus</w:t>
            </w:r>
            <w:r>
              <w:rPr>
                <w:rFonts w:ascii="Times New Roman" w:hAnsi="Times New Roman"/>
                <w:sz w:val="20"/>
              </w:rPr>
              <w:t xml:space="preserve"> the amount of any actual Partial Year Payment for such prior fiscal year, in each case, payable, subject to Section 8 of the Policy, when cash incentive compensation amounts are generally next paid to similarly-situated employees or, if later, the first regularly scheduled payroll date following the date on which the Release becomes effective and irrevocable.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Health Benefit</w:t>
            </w:r>
            <w:r>
              <w:rPr>
                <w:rFonts w:ascii="Times New Roman" w:hAnsi="Times New Roman"/>
                <w:sz w:val="20"/>
              </w:rPr>
              <w:t xml:space="preserve"> </w:t>
            </w:r>
            <w:r>
              <w:rPr>
                <w:rFonts w:ascii="Times New Roman" w:hAnsi="Times New Roman"/>
                <w:b/>
                <w:sz w:val="20"/>
              </w:rPr>
              <w:t>Severance:</w:t>
            </w:r>
            <w:r>
              <w:rPr>
                <w:rFonts w:ascii="Times New Roman" w:hAnsi="Times New Roman"/>
                <w:sz w:val="20"/>
              </w:rPr>
              <w:t xml:space="preserve"> You will receive a lump-sum payment with the number of months used to calculate the Taxable Payment equal to 12 payable no later than the 60th day following the date of your Qualified Termination or, if later, the first regularly scheduled payroll date following the date on which the Release becomes effective and irrevocable.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Equity Benefits:</w:t>
            </w:r>
            <w:r>
              <w:rPr>
                <w:rFonts w:ascii="Times New Roman" w:hAnsi="Times New Roman"/>
                <w:sz w:val="20"/>
              </w:rPr>
              <w:t xml:space="preserve"> Unless specifically provided otherwise by the Compensation Committee for an equity award at the time of grant (i) any time-based equity awards that are outstanding and unvested as of the date of your Non-CIC Qualified Termination (including equity awards initially granted that are subject to performance-based conditions which have had their performance-based conditions achieved on their respective terms and conditions as of the termination date such that the equity award remains subject only to time-based vesting as of the termination date) that otherwise would have vested had you remained employed during the 12-month period following the date of the Non-CIC Qualified Termination shall immediately vest, and (ii) equity awards that are or remain subject to performance-based vesting conditions shall remain outstanding and shall vest as to the portion of the award that otherwise would have vested had you remained employed during the 12-month period following the date of the Non-CIC Qualified Termination (the “</w:t>
            </w:r>
            <w:r>
              <w:rPr>
                <w:rFonts w:ascii="Times New Roman" w:hAnsi="Times New Roman"/>
                <w:b/>
                <w:sz w:val="20"/>
              </w:rPr>
              <w:t>Tail Period</w:t>
            </w:r>
            <w:r>
              <w:rPr>
                <w:rFonts w:ascii="Times New Roman" w:hAnsi="Times New Roman"/>
                <w:sz w:val="20"/>
              </w:rPr>
              <w:t xml:space="preserve">”) based on actual achievement of the performance criteria upon the completion of the applicable performance period (unless otherwise set forth in the individual performance-based award agreement), </w:t>
            </w:r>
            <w:r>
              <w:rPr>
                <w:rFonts w:ascii="Times New Roman" w:hAnsi="Times New Roman"/>
                <w:i/>
                <w:sz w:val="20"/>
              </w:rPr>
              <w:t>provided</w:t>
            </w:r>
            <w:r>
              <w:rPr>
                <w:rFonts w:ascii="Times New Roman" w:hAnsi="Times New Roman"/>
                <w:sz w:val="20"/>
              </w:rPr>
              <w:t xml:space="preserve"> that no shares subject to an equity award shall vest pursuant to a performance period that would not have concluded by the end of the Tail Period, and any portion of the equity award that remains unvested upon the completion of the applicable performance period shall be cancelled without payment of any consideration to the Eligible Executive.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you have a Qualified Termination, the Company will not provide you with any benefits under the Company’s Continued Service Policy. </w:t>
      </w:r>
    </w:p>
    <w:p>
      <w:pPr>
        <w:pStyle w:val="TextBody"/>
        <w:bidi w:val="0"/>
        <w:spacing w:before="360" w:after="0"/>
        <w:jc w:val="left"/>
        <w:rPr>
          <w:rFonts w:ascii="Times New Roman" w:hAnsi="Times New Roman"/>
          <w:b/>
          <w:sz w:val="20"/>
        </w:rPr>
      </w:pPr>
      <w:r>
        <w:rPr>
          <w:rFonts w:ascii="Times New Roman" w:hAnsi="Times New Roman"/>
          <w:b/>
          <w:sz w:val="20"/>
        </w:rPr>
        <w:t xml:space="preserve">CIC Qualified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your Qualified Termination is a CIC Qualified Termination, you will be entitled to the following benefits (in addition to any Accrued Amounts), subject to your compliance with the Policy, including, other than in respect of the Accrued Amounts, your timely execution and non-revocation of the Release in accordance with the terms of the Policy and the additional requirements specified in the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Salary Severance:</w:t>
            </w:r>
            <w:r>
              <w:rPr>
                <w:rFonts w:ascii="Times New Roman" w:hAnsi="Times New Roman"/>
                <w:sz w:val="20"/>
              </w:rPr>
              <w:t xml:space="preserve"> Your percentage of Base Salary will be 150%, payable in a lump-sum.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Cash Incentive Severance:</w:t>
            </w:r>
            <w:r>
              <w:rPr>
                <w:rFonts w:ascii="Times New Roman" w:hAnsi="Times New Roman"/>
                <w:sz w:val="20"/>
              </w:rPr>
              <w:t xml:space="preserve"> You will receive a lump-sum payment equal to 150% of your Target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Health</w:t>
            </w:r>
            <w:r>
              <w:rPr>
                <w:rFonts w:ascii="Times New Roman" w:hAnsi="Times New Roman"/>
                <w:sz w:val="20"/>
              </w:rPr>
              <w:t xml:space="preserve"> </w:t>
            </w:r>
            <w:r>
              <w:rPr>
                <w:rFonts w:ascii="Times New Roman" w:hAnsi="Times New Roman"/>
                <w:b/>
                <w:sz w:val="20"/>
              </w:rPr>
              <w:t>Benefit</w:t>
            </w:r>
            <w:r>
              <w:rPr>
                <w:rFonts w:ascii="Times New Roman" w:hAnsi="Times New Roman"/>
                <w:sz w:val="20"/>
              </w:rPr>
              <w:t xml:space="preserve"> </w:t>
            </w:r>
            <w:r>
              <w:rPr>
                <w:rFonts w:ascii="Times New Roman" w:hAnsi="Times New Roman"/>
                <w:b/>
                <w:sz w:val="20"/>
              </w:rPr>
              <w:t>Severance:</w:t>
            </w:r>
            <w:r>
              <w:rPr>
                <w:rFonts w:ascii="Times New Roman" w:hAnsi="Times New Roman"/>
                <w:sz w:val="20"/>
              </w:rPr>
              <w:t xml:space="preserve"> You will receive a lump-sum payment with the number of months used to calculate the Taxable Payment equal to 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Equity Benefits:</w:t>
            </w:r>
            <w:r>
              <w:rPr>
                <w:rFonts w:ascii="Times New Roman" w:hAnsi="Times New Roman"/>
                <w:sz w:val="20"/>
              </w:rPr>
              <w:t xml:space="preserve"> Unless specifically provided otherwise by the Compensation Committee for an equity award at the time of grant, you will receive vesting acceleration as to 100% of any equity awards that are outstanding and unvested as of the date of your CIC Qualified Termination, </w:t>
            </w:r>
            <w:r>
              <w:rPr>
                <w:rFonts w:ascii="Times New Roman" w:hAnsi="Times New Roman"/>
                <w:i/>
                <w:sz w:val="20"/>
              </w:rPr>
              <w:t>provided</w:t>
            </w:r>
            <w:r>
              <w:rPr>
                <w:rFonts w:ascii="Times New Roman" w:hAnsi="Times New Roman"/>
                <w:sz w:val="20"/>
              </w:rPr>
              <w:t xml:space="preserve"> that the treatment of performance conditions for equity awards that are or remain subject to performance-based vesting conditions upon a Change in Control shall be set forth in the individual performance-based award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Policy, including the provisions related to the Release Requirement, your Salary Severance, Cash Incentive Severance and Health Benefit Severance will be payable no later than the 60th day following the date of your CIC Qualified Termination or, if later, the first regularly scheduled payroll date following the date on which the Release becomes effective and irrevocable.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You agree that the Policy and this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in control provisions of any offer letter, employment agreement, or equity award agreement entered into between you and the Company, other than as set forth in a Superseding Equity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counterparts, each of which will be deemed an original, but all of which together will constitute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By its signature below, each of the parties signifies its acceptance of the terms of this Agreement, in the case of the Company by its duly authorized officer effective as of the last date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3"/>
        <w:gridCol w:w="168"/>
        <w:gridCol w:w="3195"/>
        <w:gridCol w:w="121"/>
        <w:gridCol w:w="334"/>
        <w:gridCol w:w="163"/>
        <w:gridCol w:w="1561"/>
        <w:gridCol w:w="139"/>
        <w:gridCol w:w="3251"/>
      </w:tblGrid>
      <w:tr>
        <w:trPr/>
        <w:tc>
          <w:tcPr>
            <w:tcW w:w="1273"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Pr>
          <w:p>
            <w:pPr>
              <w:pStyle w:val="TableContents"/>
              <w:bidi w:val="0"/>
              <w:spacing w:before="0" w:after="283"/>
              <w:jc w:val="left"/>
              <w:rPr>
                <w:b/>
              </w:rPr>
            </w:pPr>
            <w:r>
              <w:rPr>
                <w:b/>
              </w:rPr>
              <w:t>PALO ALTO NETWORKS, INC.</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4951" w:type="dxa"/>
            <w:gridSpan w:val="3"/>
            <w:tcBorders/>
          </w:tcPr>
          <w:p>
            <w:pPr>
              <w:pStyle w:val="TableContents"/>
              <w:bidi w:val="0"/>
              <w:spacing w:before="0" w:after="283"/>
              <w:jc w:val="left"/>
              <w:rPr>
                <w:b/>
              </w:rPr>
            </w:pPr>
            <w:r>
              <w:rPr>
                <w:b/>
              </w:rPr>
              <w:t>ELIGIBLE EXECUTIVE</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pPr>
            <w:r>
              <w:rPr/>
              <w:t>By:</w:t>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Signature: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pPr>
            <w:r>
              <w:rPr/>
              <w:t>Name:</w:t>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pPr>
            <w:r>
              <w:rPr/>
              <w:t>Title:</w:t>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pBdr>
                <w:bottom w:val="single" w:sz="2" w:space="1" w:color="000000"/>
              </w:pBdr>
              <w:bidi w:val="0"/>
              <w:spacing w:before="0" w:after="20"/>
              <w:jc w:val="left"/>
              <w:rPr/>
            </w:pPr>
            <w:r>
              <w:rPr/>
              <w:t> </w:t>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Title: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r>
        <w:trPr>
          <w:trHeight w:val="240" w:hRule="atLeast"/>
        </w:trPr>
        <w:tc>
          <w:tcPr>
            <w:tcW w:w="1273"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4" w:type="dxa"/>
            <w:tcBorders/>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561" w:type="dxa"/>
            <w:tcBorders/>
          </w:tcPr>
          <w:p>
            <w:pPr>
              <w:pStyle w:val="TableContents"/>
              <w:bidi w:val="0"/>
              <w:spacing w:before="0" w:after="283"/>
              <w:jc w:val="left"/>
              <w:rPr/>
            </w:pPr>
            <w:r>
              <w:rPr/>
              <w:t>Date:</w:t>
            </w:r>
          </w:p>
        </w:tc>
        <w:tc>
          <w:tcPr>
            <w:tcW w:w="139" w:type="dxa"/>
            <w:tcBorders/>
            <w:vAlign w:val="bottom"/>
          </w:tcPr>
          <w:p>
            <w:pPr>
              <w:pStyle w:val="TableContents"/>
              <w:bidi w:val="0"/>
              <w:spacing w:before="0" w:after="283"/>
              <w:jc w:val="left"/>
              <w:rPr/>
            </w:pPr>
            <w:r>
              <w:rPr/>
              <w:t> </w:t>
            </w:r>
          </w:p>
        </w:tc>
        <w:tc>
          <w:tcPr>
            <w:tcW w:w="325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33930</Words>
  <Characters>176886</Characters>
  <CharactersWithSpaces>211163</CharactersWithSpaces>
  <Paragraphs>1757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