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GOETZ JAMES J</w:t>
              </w:r>
            </w:hyperlink>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Palo Alto Networks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PANW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3"/>
            <w:vMerge w:val="continue"/>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00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Borders>
              <w:top w:val="single" w:sz="8" w:color="2C2C2C"/>
            </w:tcBorders>
          </w:tcPr>
          <w:p>
            <w:pPr>
              <w:spacing w:after="0"/>
              <w:rPr>
                <w:sz w:val="2"/>
                <w:szCs w:val="2"/>
                <w:color w:val="auto"/>
              </w:rPr>
            </w:pPr>
          </w:p>
        </w:tc>
        <w:tc>
          <w:tcPr>
            <w:tcW w:w="180" w:type="dxa"/>
            <w:vAlign w:val="bottom"/>
            <w:tcBorders>
              <w:top w:val="single" w:sz="8" w:color="2C2C2C"/>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7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48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0" w:type="dxa"/>
            <w:vAlign w:val="bottom"/>
            <w:gridSpan w:val="5"/>
            <w:vMerge w:val="continue"/>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140"/>
              <w:spacing w:after="0" w:line="132" w:lineRule="exact"/>
              <w:rPr>
                <w:sz w:val="20"/>
                <w:szCs w:val="20"/>
                <w:color w:val="auto"/>
              </w:rPr>
            </w:pPr>
            <w:r>
              <w:rPr>
                <w:rFonts w:ascii="Arial" w:cs="Arial" w:eastAsia="Arial" w:hAnsi="Arial"/>
                <w:sz w:val="13"/>
                <w:szCs w:val="13"/>
                <w:color w:val="auto"/>
              </w:rPr>
              <w:t>below)</w:t>
            </w:r>
          </w:p>
        </w:tc>
        <w:tc>
          <w:tcPr>
            <w:tcW w:w="960" w:type="dxa"/>
            <w:vAlign w:val="bottom"/>
          </w:tcPr>
          <w:p>
            <w:pPr>
              <w:ind w:left="540"/>
              <w:spacing w:after="0" w:line="132"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280" w:type="dxa"/>
            <w:vAlign w:val="bottom"/>
            <w:gridSpan w:val="5"/>
            <w:vMerge w:val="restart"/>
          </w:tcPr>
          <w:p>
            <w:pPr>
              <w:ind w:left="780"/>
              <w:spacing w:after="0"/>
              <w:rPr>
                <w:sz w:val="20"/>
                <w:szCs w:val="20"/>
                <w:color w:val="auto"/>
              </w:rPr>
            </w:pPr>
            <w:r>
              <w:rPr>
                <w:rFonts w:ascii="Times New Roman" w:cs="Times New Roman" w:eastAsia="Times New Roman" w:hAnsi="Times New Roman"/>
                <w:sz w:val="17"/>
                <w:szCs w:val="17"/>
                <w:color w:val="0000FF"/>
              </w:rPr>
              <w:t>03/06/2026</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SEQUOIA CAPITAL</w:t>
            </w:r>
          </w:p>
        </w:tc>
        <w:tc>
          <w:tcPr>
            <w:tcW w:w="1060" w:type="dxa"/>
            <w:vAlign w:val="bottom"/>
          </w:tcPr>
          <w:p>
            <w:pPr>
              <w:spacing w:after="0"/>
              <w:rPr>
                <w:sz w:val="11"/>
                <w:szCs w:val="11"/>
                <w:color w:val="auto"/>
              </w:rPr>
            </w:pPr>
          </w:p>
        </w:tc>
        <w:tc>
          <w:tcPr>
            <w:tcW w:w="2280" w:type="dxa"/>
            <w:vAlign w:val="bottom"/>
            <w:gridSpan w:val="5"/>
            <w:vMerge w:val="continue"/>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2800 SAND HILL ROAD, SUITE 101</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9"/>
                <w:szCs w:val="9"/>
                <w:color w:val="auto"/>
              </w:rPr>
            </w:pP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6"/>
            <w:vMerge w:val="continue"/>
          </w:tcPr>
          <w:p>
            <w:pPr>
              <w:spacing w:after="0"/>
              <w:rPr>
                <w:sz w:val="6"/>
                <w:szCs w:val="6"/>
                <w:color w:val="auto"/>
              </w:rPr>
            </w:pPr>
          </w:p>
        </w:tc>
        <w:tc>
          <w:tcPr>
            <w:tcW w:w="180" w:type="dxa"/>
            <w:vAlign w:val="bottom"/>
          </w:tcPr>
          <w:p>
            <w:pPr>
              <w:spacing w:after="0"/>
              <w:rPr>
                <w:sz w:val="6"/>
                <w:szCs w:val="6"/>
                <w:color w:val="auto"/>
              </w:rPr>
            </w:pPr>
          </w:p>
        </w:tc>
        <w:tc>
          <w:tcPr>
            <w:tcW w:w="33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03/10/2026</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46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0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60" w:type="dxa"/>
            <w:vAlign w:val="bottom"/>
            <w:gridSpan w:val="4"/>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60" w:type="dxa"/>
            <w:vAlign w:val="bottom"/>
          </w:tcPr>
          <w:p>
            <w:pPr>
              <w:ind w:left="4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1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5"/>
                <w:szCs w:val="15"/>
                <w:color w:val="auto"/>
              </w:rPr>
            </w:pPr>
          </w:p>
        </w:tc>
        <w:tc>
          <w:tcPr>
            <w:tcW w:w="1160" w:type="dxa"/>
            <w:vAlign w:val="bottom"/>
            <w:gridSpan w:val="4"/>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280"/>
              <w:spacing w:after="0" w:line="213" w:lineRule="exact"/>
              <w:rPr>
                <w:sz w:val="20"/>
                <w:szCs w:val="20"/>
                <w:color w:val="auto"/>
              </w:rPr>
            </w:pPr>
            <w:r>
              <w:rPr>
                <w:rFonts w:ascii="Times New Roman" w:cs="Times New Roman" w:eastAsia="Times New Roman" w:hAnsi="Times New Roman"/>
                <w:sz w:val="17"/>
                <w:szCs w:val="17"/>
                <w:color w:val="0000FF"/>
              </w:rPr>
              <w:t>54,184</w:t>
            </w:r>
            <w:r>
              <w:rPr>
                <w:rFonts w:ascii="Times New Roman" w:cs="Times New Roman" w:eastAsia="Times New Roman" w:hAnsi="Times New Roman"/>
                <w:sz w:val="22"/>
                <w:szCs w:val="22"/>
                <w:color w:val="008000"/>
                <w:vertAlign w:val="superscript"/>
              </w:rPr>
              <w:t>(1)</w:t>
            </w:r>
          </w:p>
        </w:tc>
        <w:tc>
          <w:tcPr>
            <w:tcW w:w="9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By</w:t>
      </w:r>
    </w:p>
    <w:p>
      <w:pPr>
        <w:spacing w:after="0" w:line="31" w:lineRule="exact"/>
        <w:rPr>
          <w:sz w:val="20"/>
          <w:szCs w:val="20"/>
          <w:color w:val="auto"/>
        </w:rPr>
      </w:pPr>
    </w:p>
    <w:p>
      <w:pPr>
        <w:jc w:val="right"/>
        <w:ind w:left="80" w:right="360"/>
        <w:spacing w:after="0"/>
        <w:rPr>
          <w:sz w:val="20"/>
          <w:szCs w:val="20"/>
          <w:color w:val="auto"/>
        </w:rPr>
      </w:pPr>
      <w:r>
        <w:rPr>
          <w:rFonts w:ascii="Times New Roman" w:cs="Times New Roman" w:eastAsia="Times New Roman" w:hAnsi="Times New Roman"/>
          <w:sz w:val="17"/>
          <w:szCs w:val="17"/>
          <w:color w:val="0000FF"/>
        </w:rPr>
        <w:t>Common Stock                                                                                40,000</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I      family trust</w:t>
      </w:r>
      <w:r>
        <w:rPr>
          <w:rFonts w:ascii="Times New Roman" w:cs="Times New Roman" w:eastAsia="Times New Roman" w:hAnsi="Times New Roman"/>
          <w:sz w:val="22"/>
          <w:szCs w:val="22"/>
          <w:color w:val="008000"/>
          <w:vertAlign w:val="superscript"/>
        </w:rPr>
        <w:t>(2)</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0000FF"/>
              </w:rPr>
              <w:t>314,580</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7"/>
          </w:tcPr>
          <w:p>
            <w:pPr>
              <w:spacing w:after="0"/>
              <w:rPr>
                <w:sz w:val="8"/>
                <w:szCs w:val="8"/>
                <w:color w:val="auto"/>
              </w:rPr>
            </w:pPr>
          </w:p>
        </w:tc>
        <w:tc>
          <w:tcPr>
            <w:tcW w:w="168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0" w:type="dxa"/>
            <w:vAlign w:val="bottom"/>
            <w:tcBorders>
              <w:top w:val="single" w:sz="8" w:color="2C2C2C"/>
            </w:tcBorders>
            <w:gridSpan w:val="10"/>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7"/>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on March 10, 2026, is being amended by this Form 4 amendment solely to correct an administrative error in reporting the number of securities beneficially owned by the Reporting Person following the reported sale transactions.</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Reporting Person's family trust. The Reporting Person may be deemed to beneficially own the shares held by his family trust. 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Jung Yeon Son, by power</w:t>
            </w:r>
          </w:p>
        </w:tc>
        <w:tc>
          <w:tcPr>
            <w:tcW w:w="1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05/05/2026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 for James J. Goetz</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9231" TargetMode="External"/><Relationship Id="rId14" Type="http://schemas.openxmlformats.org/officeDocument/2006/relationships/hyperlink" Target="http://www.sec.gov/cgi-bin/browse-edgar?action=getcompany&amp;CIK=00013275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2026-05-05T19:19:21Z</dcterms:created>
  <dcterms:modified xsi:type="dcterms:W3CDTF">2026-05-05T19:19:21Z</dcterms:modified>
</cp:coreProperties>
</file>