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Bawa Aparna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PALO ALTO NETWORKS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3000 TANNERY 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SANTA CLARA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95054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Palo Alto Networks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PANW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77"/>
        <w:gridCol w:w="901"/>
        <w:gridCol w:w="772"/>
        <w:gridCol w:w="598"/>
        <w:gridCol w:w="344"/>
        <w:gridCol w:w="789"/>
        <w:gridCol w:w="444"/>
        <w:gridCol w:w="923"/>
        <w:gridCol w:w="1145"/>
        <w:gridCol w:w="984"/>
        <w:gridCol w:w="10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7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7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7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260</w:t>
            </w:r>
          </w:p>
        </w:tc>
        <w:tc>
          <w:tcPr>
            <w:tcW w:w="4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392.685</w:t>
            </w:r>
          </w:p>
        </w:tc>
        <w:tc>
          <w:tcPr>
            <w:tcW w:w="11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4,677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  <w:tr>
        <w:trPr/>
        <w:tc>
          <w:tcPr>
            <w:tcW w:w="227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1,644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are held by The Bawa Family Trust, for which the Reporting Person and her spouse serve as trustees.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Elizabeth Villalobos, Attorney-in-Fact for Aparna Bawa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73301" TargetMode="External"/><Relationship Id="rId5" Type="http://schemas.openxmlformats.org/officeDocument/2006/relationships/hyperlink" Target="http://www.sec.gov/cgi-bin/browse-edgar?action=getcompany&amp;CIK=000132756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594</Words>
  <Characters>3207</Characters>
  <CharactersWithSpaces>3730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