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542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422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Arora Nikesh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PALO ALTO NETWORKS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3000 TANNERY WAY</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Palo Alto Networks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PANW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00" w:type="dxa"/>
            <w:vAlign w:val="bottom"/>
            <w:tcBorders>
              <w:bottom w:val="single" w:sz="8" w:color="0000EE"/>
            </w:tcBorders>
          </w:tcPr>
          <w:p>
            <w:pPr>
              <w:spacing w:after="0"/>
              <w:rPr>
                <w:sz w:val="3"/>
                <w:szCs w:val="3"/>
                <w:color w:val="auto"/>
              </w:rPr>
            </w:pPr>
          </w:p>
        </w:tc>
        <w:tc>
          <w:tcPr>
            <w:tcW w:w="172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4"/>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500" w:type="dxa"/>
            <w:vAlign w:val="bottom"/>
            <w:vMerge w:val="continue"/>
          </w:tcPr>
          <w:p>
            <w:pPr>
              <w:spacing w:after="0"/>
              <w:rPr>
                <w:sz w:val="2"/>
                <w:szCs w:val="2"/>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00" w:type="dxa"/>
            <w:vAlign w:val="bottom"/>
            <w:gridSpan w:val="2"/>
            <w:vMerge w:val="continue"/>
          </w:tcPr>
          <w:p>
            <w:pPr>
              <w:spacing w:after="0"/>
              <w:rPr>
                <w:sz w:val="7"/>
                <w:szCs w:val="7"/>
                <w:color w:val="auto"/>
              </w:rPr>
            </w:pPr>
          </w:p>
        </w:tc>
        <w:tc>
          <w:tcPr>
            <w:tcW w:w="362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220"/>
        </w:trPr>
        <w:tc>
          <w:tcPr>
            <w:tcW w:w="2100" w:type="dxa"/>
            <w:vAlign w:val="bottom"/>
            <w:gridSpan w:val="3"/>
          </w:tcPr>
          <w:p>
            <w:pPr>
              <w:ind w:left="80"/>
              <w:spacing w:after="0"/>
              <w:rPr>
                <w:sz w:val="20"/>
                <w:szCs w:val="20"/>
                <w:color w:val="auto"/>
              </w:rPr>
            </w:pPr>
            <w:r>
              <w:rPr>
                <w:rFonts w:ascii="Arial" w:cs="Arial" w:eastAsia="Arial" w:hAnsi="Arial"/>
                <w:sz w:val="17"/>
                <w:szCs w:val="17"/>
                <w:color w:val="0000FF"/>
              </w:rPr>
              <w:t>02/27/2023</w:t>
            </w:r>
          </w:p>
        </w:tc>
        <w:tc>
          <w:tcPr>
            <w:tcW w:w="1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4"/>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58"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jc w:val="center"/>
              <w:ind w:right="4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jc w:val="center"/>
              <w:ind w:right="75"/>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w w:val="91"/>
              </w:rPr>
              <w:t>02/27/2023</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151"/>
              <w:spacing w:after="0"/>
              <w:rPr>
                <w:sz w:val="20"/>
                <w:szCs w:val="20"/>
                <w:color w:val="auto"/>
              </w:rPr>
            </w:pPr>
            <w:r>
              <w:rPr>
                <w:rFonts w:ascii="Arial" w:cs="Arial" w:eastAsia="Arial" w:hAnsi="Arial"/>
                <w:sz w:val="17"/>
                <w:szCs w:val="17"/>
                <w:color w:val="0000FF"/>
              </w:rPr>
              <w:t>20,849</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5"/>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192.055</w:t>
            </w:r>
            <w:r>
              <w:rPr>
                <w:rFonts w:ascii="Arial" w:cs="Arial" w:eastAsia="Arial" w:hAnsi="Arial"/>
                <w:sz w:val="22"/>
                <w:szCs w:val="22"/>
                <w:color w:val="008000"/>
                <w:w w:val="94"/>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1,237,419</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w w:val="91"/>
              </w:rPr>
              <w:t>02/28/2023</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jc w:val="right"/>
              <w:ind w:right="191"/>
              <w:spacing w:after="0"/>
              <w:rPr>
                <w:sz w:val="20"/>
                <w:szCs w:val="20"/>
                <w:color w:val="auto"/>
              </w:rPr>
            </w:pPr>
            <w:r>
              <w:rPr>
                <w:rFonts w:ascii="Arial" w:cs="Arial" w:eastAsia="Arial" w:hAnsi="Arial"/>
                <w:sz w:val="17"/>
                <w:szCs w:val="17"/>
                <w:color w:val="0000FF"/>
              </w:rPr>
              <w:t>2,500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15"/>
              <w:spacing w:after="0"/>
              <w:rPr>
                <w:sz w:val="20"/>
                <w:szCs w:val="20"/>
                <w:color w:val="auto"/>
              </w:rPr>
            </w:pPr>
            <w:r>
              <w:rPr>
                <w:rFonts w:ascii="Arial" w:cs="Arial" w:eastAsia="Arial" w:hAnsi="Arial"/>
                <w:sz w:val="17"/>
                <w:szCs w:val="17"/>
                <w:color w:val="0000FF"/>
                <w:w w:val="97"/>
              </w:rPr>
              <w:t>D</w:t>
            </w:r>
          </w:p>
        </w:tc>
        <w:tc>
          <w:tcPr>
            <w:tcW w:w="88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191.722</w:t>
            </w:r>
            <w:r>
              <w:rPr>
                <w:rFonts w:ascii="Arial" w:cs="Arial" w:eastAsia="Arial" w:hAnsi="Arial"/>
                <w:sz w:val="22"/>
                <w:szCs w:val="22"/>
                <w:color w:val="008000"/>
                <w:w w:val="94"/>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1,234,919</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16,005</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8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3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sale price represents the weighted average sale price of the shares sold ranging from $191.67 to $192.425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15" w:lineRule="exact"/>
        <w:rPr>
          <w:rFonts w:ascii="Arial" w:cs="Arial" w:eastAsia="Arial" w:hAnsi="Arial"/>
          <w:sz w:val="13"/>
          <w:szCs w:val="13"/>
          <w:color w:val="008000"/>
        </w:rPr>
      </w:pPr>
    </w:p>
    <w:p>
      <w:pPr>
        <w:ind w:left="40" w:right="4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sale price represents the weighted average sale price of the shares sold ranging from $191.68 to $191.78 per share. Upon request by the Commission staff, the Issuer, or a security holder of the Issuer, the Reporting Person will provide full information regarding the number of shares sold at each separate price within the range set forth in this Form 4.</w:t>
      </w:r>
    </w:p>
    <w:p>
      <w:pPr>
        <w:spacing w:after="0" w:line="15"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are held by Bacchey Investments L.P., of which Bacchey Management LLC (the "LLC") is the General Partner. The Reporting Person is the manager of the LLC. The sole member of the LLC is the Aurora Trust, for which the Reporting Person serves as a trustee.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Elizabeth Villalobos,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53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534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Nikesh</w:t>
      </w:r>
      <w:r>
        <w:rPr>
          <w:sz w:val="20"/>
          <w:szCs w:val="20"/>
          <w:color w:val="auto"/>
        </w:rPr>
        <w:tab/>
      </w:r>
      <w:r>
        <w:rPr>
          <w:rFonts w:ascii="Arial" w:cs="Arial" w:eastAsia="Arial" w:hAnsi="Arial"/>
          <w:sz w:val="15"/>
          <w:szCs w:val="15"/>
          <w:color w:val="0000FF"/>
        </w:rPr>
        <w:t>02/28/2023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Arora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565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5654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68233" TargetMode="External"/><Relationship Id="rId13" Type="http://schemas.openxmlformats.org/officeDocument/2006/relationships/hyperlink" Target="http://www.sec.gov/cgi-bin/browse-edgar?action=getcompany&amp;CIK=00013275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2023-03-01T06:21:27Z</dcterms:created>
  <dcterms:modified xsi:type="dcterms:W3CDTF">2023-03-01T06:21:27Z</dcterms:modified>
</cp:coreProperties>
</file>