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8" w:lineRule="exact"/>
        <w:rPr>
          <w:sz w:val="24"/>
          <w:szCs w:val="24"/>
          <w:color w:val="auto"/>
        </w:rPr>
      </w:pPr>
    </w:p>
    <w:p>
      <w:pPr>
        <w:ind w:left="4980"/>
        <w:spacing w:after="0"/>
        <w:rPr>
          <w:sz w:val="20"/>
          <w:szCs w:val="20"/>
          <w:color w:val="auto"/>
        </w:rPr>
      </w:pPr>
      <w:r>
        <w:rPr>
          <w:rFonts w:ascii="Arial" w:cs="Arial" w:eastAsia="Arial" w:hAnsi="Arial"/>
          <w:sz w:val="11"/>
          <w:szCs w:val="11"/>
          <w:color w:val="auto"/>
        </w:rPr>
        <w:t>_____________________</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95" w:lineRule="exact"/>
        <w:rPr>
          <w:sz w:val="24"/>
          <w:szCs w:val="24"/>
          <w:color w:val="auto"/>
        </w:rPr>
      </w:pPr>
    </w:p>
    <w:p>
      <w:pPr>
        <w:ind w:left="5000"/>
        <w:spacing w:after="0"/>
        <w:rPr>
          <w:sz w:val="20"/>
          <w:szCs w:val="20"/>
          <w:color w:val="auto"/>
        </w:rPr>
      </w:pPr>
      <w:r>
        <w:rPr>
          <w:rFonts w:ascii="Arial" w:cs="Arial" w:eastAsia="Arial" w:hAnsi="Arial"/>
          <w:sz w:val="11"/>
          <w:szCs w:val="11"/>
          <w:color w:val="auto"/>
        </w:rPr>
        <w:t>_____________________</w:t>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460" w:right="320" w:hanging="412"/>
        <w:spacing w:after="0" w:line="239" w:lineRule="auto"/>
        <w:tabs>
          <w:tab w:leader="none" w:pos="384" w:val="left"/>
        </w:tabs>
        <w:numPr>
          <w:ilvl w:val="0"/>
          <w:numId w:val="1"/>
        </w:numPr>
        <w:rPr>
          <w:rFonts w:ascii="MS PGothic" w:cs="MS PGothic" w:eastAsia="MS PGothic" w:hAnsi="MS PGothic"/>
          <w:sz w:val="16"/>
          <w:szCs w:val="16"/>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April 30, 2024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2" w:lineRule="exact"/>
        <w:rPr>
          <w:sz w:val="24"/>
          <w:szCs w:val="24"/>
          <w:color w:val="auto"/>
        </w:rPr>
      </w:pPr>
    </w:p>
    <w:p>
      <w:pPr>
        <w:ind w:left="460" w:right="320" w:hanging="412"/>
        <w:spacing w:after="0" w:line="259" w:lineRule="auto"/>
        <w:tabs>
          <w:tab w:leader="none" w:pos="384" w:val="left"/>
        </w:tabs>
        <w:numPr>
          <w:ilvl w:val="0"/>
          <w:numId w:val="2"/>
        </w:numPr>
        <w:rPr>
          <w:rFonts w:ascii="MS PGothic" w:cs="MS PGothic" w:eastAsia="MS PGothic" w:hAnsi="MS PGothic"/>
          <w:sz w:val="16"/>
          <w:szCs w:val="16"/>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9" w:lineRule="exact"/>
        <w:rPr>
          <w:sz w:val="24"/>
          <w:szCs w:val="24"/>
          <w:color w:val="auto"/>
        </w:rPr>
      </w:pPr>
    </w:p>
    <w:p>
      <w:pPr>
        <w:ind w:left="38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001-35594</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PALO ALTO NETWORKS, INC.</w:t>
      </w:r>
    </w:p>
    <w:p>
      <w:pPr>
        <w:spacing w:after="0" w:line="115"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1920" w:type="dxa"/>
        <w:tblCellMar>
          <w:top w:w="0" w:type="dxa"/>
          <w:left w:w="0" w:type="dxa"/>
          <w:bottom w:w="0" w:type="dxa"/>
          <w:right w:w="0" w:type="dxa"/>
        </w:tblCellMar>
      </w:tblPr>
      <w:tr>
        <w:trPr>
          <w:trHeight w:val="223"/>
        </w:trPr>
        <w:tc>
          <w:tcPr>
            <w:tcW w:w="3880" w:type="dxa"/>
            <w:vAlign w:val="bottom"/>
          </w:tcPr>
          <w:p>
            <w:pPr>
              <w:jc w:val="center"/>
              <w:ind w:right="2011"/>
              <w:spacing w:after="0"/>
              <w:rPr>
                <w:sz w:val="20"/>
                <w:szCs w:val="20"/>
                <w:color w:val="auto"/>
              </w:rPr>
            </w:pPr>
            <w:r>
              <w:rPr>
                <w:rFonts w:ascii="Arial" w:cs="Arial" w:eastAsia="Arial" w:hAnsi="Arial"/>
                <w:sz w:val="16"/>
                <w:szCs w:val="16"/>
                <w:b w:val="1"/>
                <w:bCs w:val="1"/>
                <w:color w:val="auto"/>
              </w:rPr>
              <w:t>Delaware</w:t>
            </w:r>
          </w:p>
        </w:tc>
        <w:tc>
          <w:tcPr>
            <w:tcW w:w="3160" w:type="dxa"/>
            <w:vAlign w:val="bottom"/>
          </w:tcPr>
          <w:p>
            <w:pPr>
              <w:jc w:val="center"/>
              <w:ind w:left="2031"/>
              <w:spacing w:after="0"/>
              <w:rPr>
                <w:sz w:val="20"/>
                <w:szCs w:val="20"/>
                <w:color w:val="auto"/>
              </w:rPr>
            </w:pPr>
            <w:r>
              <w:rPr>
                <w:rFonts w:ascii="Arial" w:cs="Arial" w:eastAsia="Arial" w:hAnsi="Arial"/>
                <w:sz w:val="16"/>
                <w:szCs w:val="16"/>
                <w:b w:val="1"/>
                <w:bCs w:val="1"/>
                <w:color w:val="auto"/>
              </w:rPr>
              <w:t>20-2530195</w:t>
            </w:r>
          </w:p>
        </w:tc>
      </w:tr>
      <w:tr>
        <w:trPr>
          <w:trHeight w:val="165"/>
        </w:trPr>
        <w:tc>
          <w:tcPr>
            <w:tcW w:w="3880" w:type="dxa"/>
            <w:vAlign w:val="bottom"/>
          </w:tcPr>
          <w:p>
            <w:pPr>
              <w:jc w:val="center"/>
              <w:ind w:right="2011"/>
              <w:spacing w:after="0"/>
              <w:rPr>
                <w:sz w:val="20"/>
                <w:szCs w:val="20"/>
                <w:color w:val="auto"/>
              </w:rPr>
            </w:pPr>
            <w:r>
              <w:rPr>
                <w:rFonts w:ascii="Arial" w:cs="Arial" w:eastAsia="Arial" w:hAnsi="Arial"/>
                <w:sz w:val="13"/>
                <w:szCs w:val="13"/>
                <w:b w:val="1"/>
                <w:bCs w:val="1"/>
                <w:color w:val="auto"/>
                <w:w w:val="96"/>
              </w:rPr>
              <w:t>(State or other jurisdiction of</w:t>
            </w:r>
          </w:p>
        </w:tc>
        <w:tc>
          <w:tcPr>
            <w:tcW w:w="3160" w:type="dxa"/>
            <w:vAlign w:val="bottom"/>
          </w:tcPr>
          <w:p>
            <w:pPr>
              <w:jc w:val="center"/>
              <w:ind w:left="2031"/>
              <w:spacing w:after="0"/>
              <w:rPr>
                <w:sz w:val="20"/>
                <w:szCs w:val="20"/>
                <w:color w:val="auto"/>
              </w:rPr>
            </w:pPr>
            <w:r>
              <w:rPr>
                <w:rFonts w:ascii="Arial" w:cs="Arial" w:eastAsia="Arial" w:hAnsi="Arial"/>
                <w:sz w:val="13"/>
                <w:szCs w:val="13"/>
                <w:b w:val="1"/>
                <w:bCs w:val="1"/>
                <w:color w:val="auto"/>
                <w:w w:val="98"/>
              </w:rPr>
              <w:t>(I.R.S. Employer</w:t>
            </w:r>
          </w:p>
        </w:tc>
      </w:tr>
      <w:tr>
        <w:trPr>
          <w:trHeight w:val="172"/>
        </w:trPr>
        <w:tc>
          <w:tcPr>
            <w:tcW w:w="3880" w:type="dxa"/>
            <w:vAlign w:val="bottom"/>
          </w:tcPr>
          <w:p>
            <w:pPr>
              <w:jc w:val="center"/>
              <w:ind w:right="2011"/>
              <w:spacing w:after="0"/>
              <w:rPr>
                <w:sz w:val="20"/>
                <w:szCs w:val="20"/>
                <w:color w:val="auto"/>
              </w:rPr>
            </w:pPr>
            <w:r>
              <w:rPr>
                <w:rFonts w:ascii="Arial" w:cs="Arial" w:eastAsia="Arial" w:hAnsi="Arial"/>
                <w:sz w:val="13"/>
                <w:szCs w:val="13"/>
                <w:b w:val="1"/>
                <w:bCs w:val="1"/>
                <w:color w:val="auto"/>
                <w:w w:val="96"/>
              </w:rPr>
              <w:t>incorporation or organization)</w:t>
            </w:r>
          </w:p>
        </w:tc>
        <w:tc>
          <w:tcPr>
            <w:tcW w:w="3160" w:type="dxa"/>
            <w:vAlign w:val="bottom"/>
          </w:tcPr>
          <w:p>
            <w:pPr>
              <w:jc w:val="center"/>
              <w:ind w:left="2031"/>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3000 Tannery Way</w:t>
      </w:r>
    </w:p>
    <w:p>
      <w:pPr>
        <w:jc w:val="center"/>
        <w:spacing w:after="0" w:line="228" w:lineRule="auto"/>
        <w:rPr>
          <w:sz w:val="20"/>
          <w:szCs w:val="20"/>
          <w:color w:val="auto"/>
        </w:rPr>
      </w:pPr>
      <w:r>
        <w:rPr>
          <w:rFonts w:ascii="Arial" w:cs="Arial" w:eastAsia="Arial" w:hAnsi="Arial"/>
          <w:sz w:val="16"/>
          <w:szCs w:val="16"/>
          <w:b w:val="1"/>
          <w:bCs w:val="1"/>
          <w:color w:val="auto"/>
        </w:rPr>
        <w:t>Santa Clara, California 95054</w:t>
      </w:r>
    </w:p>
    <w:p>
      <w:pPr>
        <w:jc w:val="center"/>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(408) 753-4000</w:t>
      </w:r>
    </w:p>
    <w:p>
      <w:pPr>
        <w:jc w:val="center"/>
        <w:spacing w:after="0" w:line="229" w:lineRule="auto"/>
        <w:rPr>
          <w:sz w:val="20"/>
          <w:szCs w:val="20"/>
          <w:color w:val="auto"/>
        </w:rPr>
      </w:pPr>
      <w:r>
        <w:rPr>
          <w:rFonts w:ascii="Arial" w:cs="Arial" w:eastAsia="Arial" w:hAnsi="Arial"/>
          <w:sz w:val="13"/>
          <w:szCs w:val="13"/>
          <w:b w:val="1"/>
          <w:bCs w:val="1"/>
          <w:color w:val="auto"/>
        </w:rPr>
        <w:t>(Registrant’s telephone number, including area code)</w:t>
      </w:r>
    </w:p>
    <w:p>
      <w:pPr>
        <w:jc w:val="center"/>
        <w:spacing w:after="0"/>
        <w:rPr>
          <w:sz w:val="20"/>
          <w:szCs w:val="20"/>
          <w:color w:val="auto"/>
        </w:rPr>
      </w:pPr>
      <w:r>
        <w:rPr>
          <w:rFonts w:ascii="Arial" w:cs="Arial" w:eastAsia="Arial" w:hAnsi="Arial"/>
          <w:sz w:val="16"/>
          <w:szCs w:val="16"/>
          <w:b w:val="1"/>
          <w:bCs w:val="1"/>
          <w:color w:val="auto"/>
        </w:rPr>
        <w:t>NA</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3860" w:type="dxa"/>
            <w:vAlign w:val="bottom"/>
            <w:gridSpan w:val="5"/>
          </w:tcPr>
          <w:p>
            <w:pPr>
              <w:jc w:val="center"/>
              <w:ind w:left="17"/>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3720" w:type="dxa"/>
            <w:vAlign w:val="bottom"/>
          </w:tcPr>
          <w:p>
            <w:pPr>
              <w:spacing w:after="0"/>
              <w:rPr>
                <w:sz w:val="14"/>
                <w:szCs w:val="14"/>
                <w:color w:val="auto"/>
              </w:rPr>
            </w:pPr>
          </w:p>
        </w:tc>
      </w:tr>
      <w:tr>
        <w:trPr>
          <w:trHeight w:val="353"/>
        </w:trPr>
        <w:tc>
          <w:tcPr>
            <w:tcW w:w="36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Title of each class</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3"/>
        </w:trPr>
        <w:tc>
          <w:tcPr>
            <w:tcW w:w="3660" w:type="dxa"/>
            <w:vAlign w:val="bottom"/>
          </w:tcPr>
          <w:p>
            <w:pPr>
              <w:jc w:val="center"/>
              <w:ind w:left="308"/>
              <w:spacing w:after="0"/>
              <w:rPr>
                <w:sz w:val="20"/>
                <w:szCs w:val="20"/>
                <w:color w:val="auto"/>
              </w:rPr>
            </w:pPr>
            <w:r>
              <w:rPr>
                <w:rFonts w:ascii="Arial" w:cs="Arial" w:eastAsia="Arial" w:hAnsi="Arial"/>
                <w:sz w:val="14"/>
                <w:szCs w:val="14"/>
                <w:color w:val="auto"/>
              </w:rPr>
              <w:t>Common stock, $0.0001 par value per share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3"/>
          </w:tcPr>
          <w:p>
            <w:pPr>
              <w:jc w:val="center"/>
              <w:ind w:right="420"/>
              <w:spacing w:after="0"/>
              <w:rPr>
                <w:sz w:val="20"/>
                <w:szCs w:val="20"/>
                <w:color w:val="auto"/>
              </w:rPr>
            </w:pPr>
            <w:r>
              <w:rPr>
                <w:rFonts w:ascii="Arial" w:cs="Arial" w:eastAsia="Arial" w:hAnsi="Arial"/>
                <w:sz w:val="14"/>
                <w:szCs w:val="14"/>
                <w:color w:val="auto"/>
                <w:w w:val="99"/>
              </w:rPr>
              <w:t>PANW</w:t>
            </w:r>
          </w:p>
        </w:tc>
        <w:tc>
          <w:tcPr>
            <w:tcW w:w="3720" w:type="dxa"/>
            <w:vAlign w:val="bottom"/>
          </w:tcPr>
          <w:p>
            <w:pPr>
              <w:jc w:val="center"/>
              <w:ind w:right="248"/>
              <w:spacing w:after="0"/>
              <w:rPr>
                <w:sz w:val="20"/>
                <w:szCs w:val="20"/>
                <w:color w:val="auto"/>
              </w:rPr>
            </w:pPr>
            <w:r>
              <w:rPr>
                <w:rFonts w:ascii="Arial" w:cs="Arial" w:eastAsia="Arial" w:hAnsi="Arial"/>
                <w:sz w:val="14"/>
                <w:szCs w:val="14"/>
                <w:color w:val="auto"/>
              </w:rPr>
              <w:t>The Nasdaq Stock Market LLC</w:t>
            </w:r>
          </w:p>
        </w:tc>
      </w:tr>
      <w:tr>
        <w:trPr>
          <w:trHeight w:val="190"/>
        </w:trPr>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20" w:type="dxa"/>
            <w:vAlign w:val="bottom"/>
          </w:tcPr>
          <w:p>
            <w:pPr>
              <w:jc w:val="center"/>
              <w:ind w:right="248"/>
              <w:spacing w:after="0"/>
              <w:rPr>
                <w:sz w:val="20"/>
                <w:szCs w:val="20"/>
                <w:color w:val="auto"/>
              </w:rPr>
            </w:pPr>
            <w:r>
              <w:rPr>
                <w:rFonts w:ascii="Arial" w:cs="Arial" w:eastAsia="Arial" w:hAnsi="Arial"/>
                <w:sz w:val="14"/>
                <w:szCs w:val="14"/>
                <w:color w:val="auto"/>
              </w:rPr>
              <w:t>(Nasdaq Global Select Market)</w:t>
            </w:r>
          </w:p>
        </w:tc>
      </w:tr>
    </w:tbl>
    <w:p>
      <w:pPr>
        <w:spacing w:after="0" w:line="142" w:lineRule="exact"/>
        <w:rPr>
          <w:sz w:val="24"/>
          <w:szCs w:val="24"/>
          <w:color w:val="auto"/>
        </w:rPr>
      </w:pPr>
    </w:p>
    <w:p>
      <w:pPr>
        <w:ind w:right="460"/>
        <w:spacing w:after="0" w:line="22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2620" w:val="left"/>
          <w:tab w:leader="none" w:pos="3300" w:val="left"/>
        </w:tabs>
        <w:rPr>
          <w:sz w:val="20"/>
          <w:szCs w:val="20"/>
          <w:color w:val="auto"/>
        </w:rPr>
      </w:pPr>
      <w:r>
        <w:rPr>
          <w:rFonts w:ascii="Arial" w:cs="Arial" w:eastAsia="Arial" w:hAnsi="Arial"/>
          <w:sz w:val="16"/>
          <w:szCs w:val="16"/>
          <w:color w:val="auto"/>
        </w:rPr>
        <w:t>requirements for the past 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ind w:right="480"/>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w:t>
      </w:r>
    </w:p>
    <w:p>
      <w:pPr>
        <w:spacing w:after="0" w:line="8" w:lineRule="exact"/>
        <w:rPr>
          <w:sz w:val="24"/>
          <w:szCs w:val="24"/>
          <w:color w:val="auto"/>
        </w:rPr>
      </w:pPr>
    </w:p>
    <w:p>
      <w:pPr>
        <w:ind w:right="20"/>
        <w:spacing w:after="0" w:line="235" w:lineRule="auto"/>
        <w:rPr>
          <w:sz w:val="20"/>
          <w:szCs w:val="20"/>
          <w:color w:val="auto"/>
        </w:rPr>
      </w:pPr>
      <w:r>
        <w:rPr>
          <w:rFonts w:ascii="Arial" w:cs="Arial" w:eastAsia="Arial" w:hAnsi="Arial"/>
          <w:sz w:val="16"/>
          <w:szCs w:val="16"/>
          <w:color w:val="auto"/>
        </w:rPr>
        <w:t>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37"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6">
            <w:col w:w="2580" w:space="720"/>
            <w:col w:w="160" w:space="300"/>
            <w:col w:w="2580" w:space="720"/>
            <w:col w:w="140" w:space="300"/>
            <w:col w:w="2600" w:space="720"/>
            <w:col w:w="420"/>
          </w:cols>
          <w:pgMar w:left="320" w:top="233" w:right="339" w:bottom="1440" w:gutter="0" w:footer="0" w:header="0"/>
          <w:type w:val="continuous"/>
        </w:sectPr>
      </w:pPr>
    </w:p>
    <w:p>
      <w:pPr>
        <w:spacing w:after="0" w:line="6"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4">
            <w:col w:w="2580" w:space="720"/>
            <w:col w:w="160" w:space="300"/>
            <w:col w:w="2580" w:space="720"/>
            <w:col w:w="4180"/>
          </w:cols>
          <w:pgMar w:left="320" w:top="233" w:right="339" w:bottom="1440" w:gutter="0" w:footer="0" w:header="0"/>
          <w:type w:val="continuous"/>
        </w:sectPr>
      </w:pPr>
    </w:p>
    <w:p>
      <w:pPr>
        <w:spacing w:after="0" w:line="21" w:lineRule="exact"/>
        <w:rPr>
          <w:sz w:val="24"/>
          <w:szCs w:val="24"/>
          <w:color w:val="auto"/>
        </w:rPr>
      </w:pPr>
    </w:p>
    <w:p>
      <w:pPr>
        <w:ind w:right="140"/>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ind w:right="196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as of May 10, 2024 was 323.8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614680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54864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Page</w:t>
            </w:r>
          </w:p>
        </w:tc>
      </w:tr>
      <w:tr>
        <w:trPr>
          <w:trHeight w:val="214"/>
        </w:trPr>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40" w:type="dxa"/>
            <w:vAlign w:val="bottom"/>
            <w:gridSpan w:val="10"/>
          </w:tcPr>
          <w:p>
            <w:pPr>
              <w:jc w:val="center"/>
              <w:ind w:right="1800"/>
              <w:spacing w:after="0"/>
              <w:rPr>
                <w:sz w:val="20"/>
                <w:szCs w:val="20"/>
                <w:color w:val="auto"/>
              </w:rPr>
            </w:pPr>
            <w:r>
              <w:rPr>
                <w:rFonts w:ascii="Arial" w:cs="Arial" w:eastAsia="Arial" w:hAnsi="Arial"/>
                <w:sz w:val="16"/>
                <w:szCs w:val="16"/>
                <w:color w:val="auto"/>
              </w:rPr>
              <w:t>PART I - FINANCIAL INFORMATION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13"/>
        </w:trPr>
        <w:tc>
          <w:tcPr>
            <w:tcW w:w="98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gridSpan w:val="8"/>
          </w:tcPr>
          <w:p>
            <w:pPr>
              <w:spacing w:after="0"/>
              <w:rPr>
                <w:sz w:val="20"/>
                <w:szCs w:val="20"/>
                <w:color w:val="auto"/>
              </w:rPr>
            </w:pPr>
            <w:r>
              <w:rPr>
                <w:rFonts w:ascii="Arial" w:cs="Arial" w:eastAsia="Arial" w:hAnsi="Arial"/>
                <w:sz w:val="16"/>
                <w:szCs w:val="16"/>
                <w:color w:val="0000FF"/>
              </w:rPr>
              <w:t>Financial Statements</w:t>
            </w:r>
          </w:p>
        </w:tc>
        <w:tc>
          <w:tcPr>
            <w:tcW w:w="7800" w:type="dxa"/>
            <w:vAlign w:val="bottom"/>
            <w:gridSpan w:val="11"/>
          </w:tcPr>
          <w:p>
            <w:pPr>
              <w:spacing w:after="0"/>
              <w:rPr>
                <w:sz w:val="24"/>
                <w:szCs w:val="24"/>
                <w:color w:val="auto"/>
              </w:rPr>
            </w:pPr>
          </w:p>
        </w:tc>
        <w:tc>
          <w:tcPr>
            <w:tcW w:w="500" w:type="dxa"/>
            <w:vAlign w:val="bottom"/>
            <w:gridSpan w:val="2"/>
          </w:tcPr>
          <w:p>
            <w:pPr>
              <w:jc w:val="center"/>
              <w:ind w:left="339"/>
              <w:spacing w:after="0"/>
              <w:rPr>
                <w:sz w:val="20"/>
                <w:szCs w:val="20"/>
                <w:color w:val="auto"/>
              </w:rPr>
            </w:pPr>
            <w:r>
              <w:rPr>
                <w:rFonts w:ascii="Arial" w:cs="Arial" w:eastAsia="Arial" w:hAnsi="Arial"/>
                <w:sz w:val="16"/>
                <w:szCs w:val="16"/>
                <w:color w:val="0000FF"/>
                <w:w w:val="89"/>
              </w:rPr>
              <w:t>2</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9"/>
        </w:trPr>
        <w:tc>
          <w:tcPr>
            <w:tcW w:w="98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6"/>
                <w:szCs w:val="16"/>
                <w:color w:val="0000FF"/>
              </w:rPr>
              <w:t>Condensed Consolidated Balance Sheets as of April 30, 2024 and July 31, 2023</w:t>
            </w:r>
          </w:p>
        </w:tc>
        <w:tc>
          <w:tcPr>
            <w:tcW w:w="500" w:type="dxa"/>
            <w:vAlign w:val="bottom"/>
            <w:gridSpan w:val="2"/>
          </w:tcPr>
          <w:p>
            <w:pPr>
              <w:jc w:val="center"/>
              <w:ind w:left="339"/>
              <w:spacing w:after="0"/>
              <w:rPr>
                <w:sz w:val="20"/>
                <w:szCs w:val="20"/>
                <w:color w:val="auto"/>
              </w:rPr>
            </w:pPr>
            <w:r>
              <w:rPr>
                <w:rFonts w:ascii="Arial" w:cs="Arial" w:eastAsia="Arial" w:hAnsi="Arial"/>
                <w:sz w:val="16"/>
                <w:szCs w:val="16"/>
                <w:color w:val="0000FF"/>
                <w:w w:val="89"/>
              </w:rPr>
              <w:t>2</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9"/>
        </w:trPr>
        <w:tc>
          <w:tcPr>
            <w:tcW w:w="980" w:type="dxa"/>
            <w:vAlign w:val="bottom"/>
          </w:tcPr>
          <w:p>
            <w:pPr>
              <w:spacing w:after="0"/>
              <w:rPr>
                <w:sz w:val="24"/>
                <w:szCs w:val="24"/>
                <w:color w:val="auto"/>
              </w:rPr>
            </w:pPr>
          </w:p>
        </w:tc>
        <w:tc>
          <w:tcPr>
            <w:tcW w:w="8860" w:type="dxa"/>
            <w:vAlign w:val="bottom"/>
            <w:gridSpan w:val="17"/>
          </w:tcPr>
          <w:p>
            <w:pPr>
              <w:spacing w:after="0"/>
              <w:rPr>
                <w:sz w:val="20"/>
                <w:szCs w:val="20"/>
                <w:color w:val="auto"/>
              </w:rPr>
            </w:pPr>
            <w:r>
              <w:rPr>
                <w:rFonts w:ascii="Arial" w:cs="Arial" w:eastAsia="Arial" w:hAnsi="Arial"/>
                <w:sz w:val="16"/>
                <w:szCs w:val="16"/>
                <w:color w:val="0000FF"/>
              </w:rPr>
              <w:t>Condensed Consolidated Statements of Operations for the Three and Nine Months Ended April 30, 2024 and April 30, 2023</w:t>
            </w:r>
          </w:p>
        </w:tc>
        <w:tc>
          <w:tcPr>
            <w:tcW w:w="460" w:type="dxa"/>
            <w:vAlign w:val="bottom"/>
            <w:gridSpan w:val="2"/>
          </w:tcPr>
          <w:p>
            <w:pPr>
              <w:spacing w:after="0"/>
              <w:rPr>
                <w:sz w:val="24"/>
                <w:szCs w:val="24"/>
                <w:color w:val="auto"/>
              </w:rPr>
            </w:pPr>
          </w:p>
        </w:tc>
        <w:tc>
          <w:tcPr>
            <w:tcW w:w="500" w:type="dxa"/>
            <w:vAlign w:val="bottom"/>
            <w:gridSpan w:val="2"/>
          </w:tcPr>
          <w:p>
            <w:pPr>
              <w:jc w:val="center"/>
              <w:ind w:left="339"/>
              <w:spacing w:after="0"/>
              <w:rPr>
                <w:sz w:val="20"/>
                <w:szCs w:val="20"/>
                <w:color w:val="auto"/>
              </w:rPr>
            </w:pPr>
            <w:r>
              <w:rPr>
                <w:rFonts w:ascii="Arial" w:cs="Arial" w:eastAsia="Arial" w:hAnsi="Arial"/>
                <w:sz w:val="16"/>
                <w:szCs w:val="16"/>
                <w:color w:val="0000FF"/>
                <w:w w:val="89"/>
              </w:rPr>
              <w:t>3</w:t>
            </w:r>
          </w:p>
        </w:tc>
        <w:tc>
          <w:tcPr>
            <w:tcW w:w="420" w:type="dxa"/>
            <w:vAlign w:val="bottom"/>
          </w:tcPr>
          <w:p>
            <w:pPr>
              <w:spacing w:after="0"/>
              <w:rPr>
                <w:sz w:val="24"/>
                <w:szCs w:val="24"/>
                <w:color w:val="auto"/>
              </w:rPr>
            </w:pPr>
          </w:p>
        </w:tc>
      </w:tr>
      <w:tr>
        <w:trPr>
          <w:trHeight w:val="439"/>
        </w:trPr>
        <w:tc>
          <w:tcPr>
            <w:tcW w:w="980" w:type="dxa"/>
            <w:vAlign w:val="bottom"/>
          </w:tcPr>
          <w:p>
            <w:pPr>
              <w:spacing w:after="0"/>
              <w:rPr>
                <w:sz w:val="24"/>
                <w:szCs w:val="24"/>
                <w:color w:val="auto"/>
              </w:rPr>
            </w:pPr>
          </w:p>
        </w:tc>
        <w:tc>
          <w:tcPr>
            <w:tcW w:w="886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Condensed Consolidated Statements of Comprehensive Income for the Three and Nine Months Ended April 30, 2024 and</w:t>
            </w:r>
          </w:p>
        </w:tc>
        <w:tc>
          <w:tcPr>
            <w:tcW w:w="4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189"/>
        </w:trPr>
        <w:tc>
          <w:tcPr>
            <w:tcW w:w="980" w:type="dxa"/>
            <w:vAlign w:val="bottom"/>
          </w:tcPr>
          <w:p>
            <w:pPr>
              <w:spacing w:after="0"/>
              <w:rPr>
                <w:sz w:val="16"/>
                <w:szCs w:val="16"/>
                <w:color w:val="auto"/>
              </w:rPr>
            </w:pPr>
          </w:p>
        </w:tc>
        <w:tc>
          <w:tcPr>
            <w:tcW w:w="1000" w:type="dxa"/>
            <w:vAlign w:val="bottom"/>
            <w:tcBorders>
              <w:top w:val="single" w:sz="8" w:color="0000FF"/>
              <w:bottom w:val="single" w:sz="8" w:color="0000FF"/>
            </w:tcBorders>
            <w:gridSpan w:val="5"/>
          </w:tcPr>
          <w:p>
            <w:pPr>
              <w:spacing w:after="0" w:line="155" w:lineRule="exact"/>
              <w:rPr>
                <w:sz w:val="20"/>
                <w:szCs w:val="20"/>
                <w:color w:val="auto"/>
              </w:rPr>
            </w:pPr>
            <w:r>
              <w:rPr>
                <w:rFonts w:ascii="Arial" w:cs="Arial" w:eastAsia="Arial" w:hAnsi="Arial"/>
                <w:sz w:val="16"/>
                <w:szCs w:val="16"/>
                <w:color w:val="0000FF"/>
                <w:w w:val="99"/>
              </w:rPr>
              <w:t>April 30, 2023</w:t>
            </w:r>
          </w:p>
        </w:tc>
        <w:tc>
          <w:tcPr>
            <w:tcW w:w="7740" w:type="dxa"/>
            <w:vAlign w:val="bottom"/>
            <w:tcBorders>
              <w:top w:val="single" w:sz="8" w:color="0000FF"/>
            </w:tcBorders>
            <w:gridSpan w:val="11"/>
          </w:tcPr>
          <w:p>
            <w:pPr>
              <w:spacing w:after="0"/>
              <w:rPr>
                <w:sz w:val="16"/>
                <w:szCs w:val="16"/>
                <w:color w:val="auto"/>
              </w:rPr>
            </w:pPr>
          </w:p>
        </w:tc>
        <w:tc>
          <w:tcPr>
            <w:tcW w:w="3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tcPr>
          <w:p>
            <w:pPr>
              <w:jc w:val="center"/>
              <w:ind w:left="339"/>
              <w:spacing w:after="0" w:line="155" w:lineRule="exact"/>
              <w:rPr>
                <w:sz w:val="20"/>
                <w:szCs w:val="20"/>
                <w:color w:val="auto"/>
              </w:rPr>
            </w:pPr>
            <w:r>
              <w:rPr>
                <w:rFonts w:ascii="Arial" w:cs="Arial" w:eastAsia="Arial" w:hAnsi="Arial"/>
                <w:sz w:val="16"/>
                <w:szCs w:val="16"/>
                <w:color w:val="0000FF"/>
                <w:w w:val="89"/>
              </w:rPr>
              <w:t>4</w:t>
            </w:r>
          </w:p>
        </w:tc>
        <w:tc>
          <w:tcPr>
            <w:tcW w:w="420" w:type="dxa"/>
            <w:vAlign w:val="bottom"/>
          </w:tcPr>
          <w:p>
            <w:pPr>
              <w:spacing w:after="0"/>
              <w:rPr>
                <w:sz w:val="16"/>
                <w:szCs w:val="16"/>
                <w:color w:val="auto"/>
              </w:rPr>
            </w:pPr>
          </w:p>
        </w:tc>
      </w:tr>
      <w:tr>
        <w:trPr>
          <w:trHeight w:val="433"/>
        </w:trPr>
        <w:tc>
          <w:tcPr>
            <w:tcW w:w="98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6"/>
                <w:szCs w:val="16"/>
                <w:color w:val="0000FF"/>
              </w:rPr>
              <w:t>Condensed Consolidated Statements of Stockholders’ Equity for the Three and Nine Months Ended April 30, 2024 and April 30,</w:t>
            </w: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169"/>
        </w:trPr>
        <w:tc>
          <w:tcPr>
            <w:tcW w:w="980" w:type="dxa"/>
            <w:vAlign w:val="bottom"/>
          </w:tcPr>
          <w:p>
            <w:pPr>
              <w:spacing w:after="0"/>
              <w:rPr>
                <w:sz w:val="14"/>
                <w:szCs w:val="14"/>
                <w:color w:val="auto"/>
              </w:rPr>
            </w:pPr>
          </w:p>
        </w:tc>
        <w:tc>
          <w:tcPr>
            <w:tcW w:w="360" w:type="dxa"/>
            <w:vAlign w:val="bottom"/>
            <w:tcBorders>
              <w:top w:val="single" w:sz="8" w:color="0000FF"/>
            </w:tcBorders>
          </w:tcPr>
          <w:p>
            <w:pPr>
              <w:spacing w:after="0" w:line="155" w:lineRule="exact"/>
              <w:rPr>
                <w:sz w:val="20"/>
                <w:szCs w:val="20"/>
                <w:color w:val="auto"/>
              </w:rPr>
            </w:pPr>
            <w:r>
              <w:rPr>
                <w:rFonts w:ascii="Arial" w:cs="Arial" w:eastAsia="Arial" w:hAnsi="Arial"/>
                <w:sz w:val="16"/>
                <w:szCs w:val="16"/>
                <w:color w:val="0000FF"/>
                <w:w w:val="95"/>
              </w:rPr>
              <w:t>2023</w:t>
            </w: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7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2"/>
          </w:tcPr>
          <w:p>
            <w:pPr>
              <w:jc w:val="center"/>
              <w:ind w:left="339"/>
              <w:spacing w:after="0" w:line="155" w:lineRule="exact"/>
              <w:rPr>
                <w:sz w:val="20"/>
                <w:szCs w:val="20"/>
                <w:color w:val="auto"/>
              </w:rPr>
            </w:pPr>
            <w:r>
              <w:rPr>
                <w:rFonts w:ascii="Arial" w:cs="Arial" w:eastAsia="Arial" w:hAnsi="Arial"/>
                <w:sz w:val="16"/>
                <w:szCs w:val="16"/>
                <w:color w:val="0000FF"/>
                <w:w w:val="89"/>
              </w:rPr>
              <w:t>5</w:t>
            </w:r>
          </w:p>
        </w:tc>
        <w:tc>
          <w:tcPr>
            <w:tcW w:w="420" w:type="dxa"/>
            <w:vAlign w:val="bottom"/>
          </w:tcPr>
          <w:p>
            <w:pPr>
              <w:spacing w:after="0"/>
              <w:rPr>
                <w:sz w:val="14"/>
                <w:szCs w:val="14"/>
                <w:color w:val="auto"/>
              </w:rPr>
            </w:pPr>
          </w:p>
        </w:tc>
      </w:tr>
      <w:tr>
        <w:trPr>
          <w:trHeight w:val="27"/>
        </w:trPr>
        <w:tc>
          <w:tcPr>
            <w:tcW w:w="980" w:type="dxa"/>
            <w:vAlign w:val="bottom"/>
          </w:tcPr>
          <w:p>
            <w:pPr>
              <w:spacing w:after="0"/>
              <w:rPr>
                <w:sz w:val="2"/>
                <w:szCs w:val="2"/>
                <w:color w:val="auto"/>
              </w:rPr>
            </w:pPr>
          </w:p>
        </w:tc>
        <w:tc>
          <w:tcPr>
            <w:tcW w:w="560" w:type="dxa"/>
            <w:vAlign w:val="bottom"/>
            <w:gridSpan w:val="2"/>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r>
      <w:tr>
        <w:trPr>
          <w:trHeight w:val="445"/>
        </w:trPr>
        <w:tc>
          <w:tcPr>
            <w:tcW w:w="98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6"/>
                <w:szCs w:val="16"/>
                <w:color w:val="0000FF"/>
              </w:rPr>
              <w:t>Condensed Consolidated Statements of Cash Flows for the Nine Months Ended April 30, 2024 and April 30, 2023</w:t>
            </w:r>
          </w:p>
        </w:tc>
        <w:tc>
          <w:tcPr>
            <w:tcW w:w="500" w:type="dxa"/>
            <w:vAlign w:val="bottom"/>
            <w:gridSpan w:val="2"/>
          </w:tcPr>
          <w:p>
            <w:pPr>
              <w:jc w:val="center"/>
              <w:ind w:left="339"/>
              <w:spacing w:after="0"/>
              <w:rPr>
                <w:sz w:val="20"/>
                <w:szCs w:val="20"/>
                <w:color w:val="auto"/>
              </w:rPr>
            </w:pPr>
            <w:r>
              <w:rPr>
                <w:rFonts w:ascii="Arial" w:cs="Arial" w:eastAsia="Arial" w:hAnsi="Arial"/>
                <w:sz w:val="16"/>
                <w:szCs w:val="16"/>
                <w:color w:val="0000FF"/>
                <w:w w:val="89"/>
              </w:rPr>
              <w:t>7</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9"/>
        </w:trPr>
        <w:tc>
          <w:tcPr>
            <w:tcW w:w="980" w:type="dxa"/>
            <w:vAlign w:val="bottom"/>
          </w:tcPr>
          <w:p>
            <w:pPr>
              <w:spacing w:after="0"/>
              <w:rPr>
                <w:sz w:val="24"/>
                <w:szCs w:val="24"/>
                <w:color w:val="auto"/>
              </w:rPr>
            </w:pPr>
          </w:p>
        </w:tc>
        <w:tc>
          <w:tcPr>
            <w:tcW w:w="8120" w:type="dxa"/>
            <w:vAlign w:val="bottom"/>
            <w:gridSpan w:val="15"/>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1200" w:type="dxa"/>
            <w:vAlign w:val="bottom"/>
            <w:gridSpan w:val="4"/>
          </w:tcPr>
          <w:p>
            <w:pPr>
              <w:spacing w:after="0"/>
              <w:rPr>
                <w:sz w:val="24"/>
                <w:szCs w:val="24"/>
                <w:color w:val="auto"/>
              </w:rPr>
            </w:pPr>
          </w:p>
        </w:tc>
        <w:tc>
          <w:tcPr>
            <w:tcW w:w="500" w:type="dxa"/>
            <w:vAlign w:val="bottom"/>
            <w:gridSpan w:val="2"/>
          </w:tcPr>
          <w:p>
            <w:pPr>
              <w:jc w:val="center"/>
              <w:ind w:left="339"/>
              <w:spacing w:after="0"/>
              <w:rPr>
                <w:sz w:val="20"/>
                <w:szCs w:val="20"/>
                <w:color w:val="auto"/>
              </w:rPr>
            </w:pPr>
            <w:r>
              <w:rPr>
                <w:rFonts w:ascii="Arial" w:cs="Arial" w:eastAsia="Arial" w:hAnsi="Arial"/>
                <w:sz w:val="16"/>
                <w:szCs w:val="16"/>
                <w:color w:val="0000FF"/>
                <w:w w:val="89"/>
              </w:rPr>
              <w:t>8</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9"/>
        </w:trPr>
        <w:tc>
          <w:tcPr>
            <w:tcW w:w="98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940" w:type="dxa"/>
            <w:vAlign w:val="bottom"/>
            <w:gridSpan w:val="5"/>
          </w:tcPr>
          <w:p>
            <w:pPr>
              <w:spacing w:after="0"/>
              <w:rPr>
                <w:sz w:val="24"/>
                <w:szCs w:val="24"/>
                <w:color w:val="auto"/>
              </w:rPr>
            </w:pPr>
          </w:p>
        </w:tc>
        <w:tc>
          <w:tcPr>
            <w:tcW w:w="500" w:type="dxa"/>
            <w:vAlign w:val="bottom"/>
            <w:gridSpan w:val="2"/>
          </w:tcPr>
          <w:p>
            <w:pPr>
              <w:jc w:val="center"/>
              <w:ind w:left="239"/>
              <w:spacing w:after="0"/>
              <w:rPr>
                <w:sz w:val="20"/>
                <w:szCs w:val="20"/>
                <w:color w:val="auto"/>
              </w:rPr>
            </w:pPr>
            <w:r>
              <w:rPr>
                <w:rFonts w:ascii="Arial" w:cs="Arial" w:eastAsia="Arial" w:hAnsi="Arial"/>
                <w:sz w:val="16"/>
                <w:szCs w:val="16"/>
                <w:color w:val="0000FF"/>
              </w:rPr>
              <w:t>23</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439"/>
        </w:trPr>
        <w:tc>
          <w:tcPr>
            <w:tcW w:w="98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gridSpan w:val="11"/>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40" w:type="dxa"/>
            <w:vAlign w:val="bottom"/>
            <w:gridSpan w:val="3"/>
          </w:tcPr>
          <w:p>
            <w:pPr>
              <w:spacing w:after="0"/>
              <w:rPr>
                <w:sz w:val="24"/>
                <w:szCs w:val="24"/>
                <w:color w:val="auto"/>
              </w:rPr>
            </w:pPr>
          </w:p>
        </w:tc>
        <w:tc>
          <w:tcPr>
            <w:tcW w:w="2940" w:type="dxa"/>
            <w:vAlign w:val="bottom"/>
            <w:gridSpan w:val="5"/>
          </w:tcPr>
          <w:p>
            <w:pPr>
              <w:spacing w:after="0"/>
              <w:rPr>
                <w:sz w:val="24"/>
                <w:szCs w:val="24"/>
                <w:color w:val="auto"/>
              </w:rPr>
            </w:pPr>
          </w:p>
        </w:tc>
        <w:tc>
          <w:tcPr>
            <w:tcW w:w="500" w:type="dxa"/>
            <w:vAlign w:val="bottom"/>
            <w:gridSpan w:val="2"/>
          </w:tcPr>
          <w:p>
            <w:pPr>
              <w:jc w:val="center"/>
              <w:ind w:left="239"/>
              <w:spacing w:after="0"/>
              <w:rPr>
                <w:sz w:val="20"/>
                <w:szCs w:val="20"/>
                <w:color w:val="auto"/>
              </w:rPr>
            </w:pPr>
            <w:r>
              <w:rPr>
                <w:rFonts w:ascii="Arial" w:cs="Arial" w:eastAsia="Arial" w:hAnsi="Arial"/>
                <w:sz w:val="16"/>
                <w:szCs w:val="16"/>
                <w:color w:val="0000FF"/>
              </w:rPr>
              <w:t>37</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439"/>
        </w:trPr>
        <w:tc>
          <w:tcPr>
            <w:tcW w:w="98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gridSpan w:val="11"/>
          </w:tcPr>
          <w:p>
            <w:pPr>
              <w:spacing w:after="0"/>
              <w:rPr>
                <w:sz w:val="20"/>
                <w:szCs w:val="20"/>
                <w:color w:val="auto"/>
              </w:rPr>
            </w:pPr>
            <w:r>
              <w:rPr>
                <w:rFonts w:ascii="Arial" w:cs="Arial" w:eastAsia="Arial" w:hAnsi="Arial"/>
                <w:sz w:val="16"/>
                <w:szCs w:val="16"/>
                <w:color w:val="0000FF"/>
              </w:rPr>
              <w:t>Controls and Procedures</w:t>
            </w:r>
          </w:p>
        </w:tc>
        <w:tc>
          <w:tcPr>
            <w:tcW w:w="5080" w:type="dxa"/>
            <w:vAlign w:val="bottom"/>
            <w:gridSpan w:val="8"/>
          </w:tcPr>
          <w:p>
            <w:pPr>
              <w:spacing w:after="0"/>
              <w:rPr>
                <w:sz w:val="24"/>
                <w:szCs w:val="24"/>
                <w:color w:val="auto"/>
              </w:rPr>
            </w:pPr>
          </w:p>
        </w:tc>
        <w:tc>
          <w:tcPr>
            <w:tcW w:w="500" w:type="dxa"/>
            <w:vAlign w:val="bottom"/>
            <w:gridSpan w:val="2"/>
          </w:tcPr>
          <w:p>
            <w:pPr>
              <w:jc w:val="center"/>
              <w:ind w:left="239"/>
              <w:spacing w:after="0"/>
              <w:rPr>
                <w:sz w:val="20"/>
                <w:szCs w:val="20"/>
                <w:color w:val="auto"/>
              </w:rPr>
            </w:pPr>
            <w:r>
              <w:rPr>
                <w:rFonts w:ascii="Arial" w:cs="Arial" w:eastAsia="Arial" w:hAnsi="Arial"/>
                <w:sz w:val="16"/>
                <w:szCs w:val="16"/>
                <w:color w:val="0000FF"/>
              </w:rPr>
              <w:t>37</w:t>
            </w:r>
          </w:p>
        </w:tc>
        <w:tc>
          <w:tcPr>
            <w:tcW w:w="420" w:type="dxa"/>
            <w:vAlign w:val="bottom"/>
          </w:tcPr>
          <w:p>
            <w:pPr>
              <w:spacing w:after="0"/>
              <w:rPr>
                <w:sz w:val="24"/>
                <w:szCs w:val="24"/>
                <w:color w:val="auto"/>
              </w:rPr>
            </w:pPr>
          </w:p>
        </w:tc>
      </w:tr>
      <w:tr>
        <w:trPr>
          <w:trHeight w:val="640"/>
        </w:trPr>
        <w:tc>
          <w:tcPr>
            <w:tcW w:w="9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540" w:type="dxa"/>
            <w:vAlign w:val="bottom"/>
            <w:gridSpan w:val="10"/>
          </w:tcPr>
          <w:p>
            <w:pPr>
              <w:jc w:val="center"/>
              <w:ind w:right="1800"/>
              <w:spacing w:after="0"/>
              <w:rPr>
                <w:sz w:val="20"/>
                <w:szCs w:val="20"/>
                <w:color w:val="auto"/>
              </w:rPr>
            </w:pPr>
            <w:r>
              <w:rPr>
                <w:rFonts w:ascii="Arial" w:cs="Arial" w:eastAsia="Arial" w:hAnsi="Arial"/>
                <w:sz w:val="16"/>
                <w:szCs w:val="16"/>
                <w:color w:val="auto"/>
                <w:w w:val="99"/>
              </w:rPr>
              <w:t>PART II - OTHER INFORMATION</w:t>
            </w:r>
          </w:p>
        </w:tc>
        <w:tc>
          <w:tcPr>
            <w:tcW w:w="4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313"/>
        </w:trPr>
        <w:tc>
          <w:tcPr>
            <w:tcW w:w="98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gridSpan w:val="7"/>
          </w:tcPr>
          <w:p>
            <w:pPr>
              <w:spacing w:after="0"/>
              <w:rPr>
                <w:sz w:val="20"/>
                <w:szCs w:val="20"/>
                <w:color w:val="auto"/>
              </w:rPr>
            </w:pPr>
            <w:r>
              <w:rPr>
                <w:rFonts w:ascii="Arial" w:cs="Arial" w:eastAsia="Arial" w:hAnsi="Arial"/>
                <w:sz w:val="16"/>
                <w:szCs w:val="16"/>
                <w:color w:val="0000FF"/>
                <w:w w:val="99"/>
              </w:rPr>
              <w:t>Legal Proceedings</w:t>
            </w:r>
          </w:p>
        </w:tc>
        <w:tc>
          <w:tcPr>
            <w:tcW w:w="7980" w:type="dxa"/>
            <w:vAlign w:val="bottom"/>
            <w:gridSpan w:val="12"/>
          </w:tcPr>
          <w:p>
            <w:pPr>
              <w:spacing w:after="0"/>
              <w:rPr>
                <w:sz w:val="24"/>
                <w:szCs w:val="24"/>
                <w:color w:val="auto"/>
              </w:rPr>
            </w:pPr>
          </w:p>
        </w:tc>
        <w:tc>
          <w:tcPr>
            <w:tcW w:w="500" w:type="dxa"/>
            <w:vAlign w:val="bottom"/>
            <w:gridSpan w:val="2"/>
          </w:tcPr>
          <w:p>
            <w:pPr>
              <w:jc w:val="center"/>
              <w:ind w:left="239"/>
              <w:spacing w:after="0"/>
              <w:rPr>
                <w:sz w:val="20"/>
                <w:szCs w:val="20"/>
                <w:color w:val="auto"/>
              </w:rPr>
            </w:pPr>
            <w:r>
              <w:rPr>
                <w:rFonts w:ascii="Arial" w:cs="Arial" w:eastAsia="Arial" w:hAnsi="Arial"/>
                <w:sz w:val="16"/>
                <w:szCs w:val="16"/>
                <w:color w:val="0000FF"/>
              </w:rPr>
              <w:t>39</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439"/>
        </w:trPr>
        <w:tc>
          <w:tcPr>
            <w:tcW w:w="98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gridSpan w:val="4"/>
          </w:tcPr>
          <w:p>
            <w:pPr>
              <w:spacing w:after="0"/>
              <w:rPr>
                <w:sz w:val="20"/>
                <w:szCs w:val="20"/>
                <w:color w:val="auto"/>
              </w:rPr>
            </w:pPr>
            <w:r>
              <w:rPr>
                <w:rFonts w:ascii="Arial" w:cs="Arial" w:eastAsia="Arial" w:hAnsi="Arial"/>
                <w:sz w:val="16"/>
                <w:szCs w:val="16"/>
                <w:color w:val="0000FF"/>
                <w:w w:val="98"/>
              </w:rPr>
              <w:t>Risk Factors</w:t>
            </w:r>
          </w:p>
        </w:tc>
        <w:tc>
          <w:tcPr>
            <w:tcW w:w="440" w:type="dxa"/>
            <w:vAlign w:val="bottom"/>
            <w:gridSpan w:val="3"/>
          </w:tcPr>
          <w:p>
            <w:pPr>
              <w:spacing w:after="0"/>
              <w:rPr>
                <w:sz w:val="24"/>
                <w:szCs w:val="24"/>
                <w:color w:val="auto"/>
              </w:rPr>
            </w:pPr>
          </w:p>
        </w:tc>
        <w:tc>
          <w:tcPr>
            <w:tcW w:w="7980" w:type="dxa"/>
            <w:vAlign w:val="bottom"/>
            <w:gridSpan w:val="12"/>
          </w:tcPr>
          <w:p>
            <w:pPr>
              <w:spacing w:after="0"/>
              <w:rPr>
                <w:sz w:val="24"/>
                <w:szCs w:val="24"/>
                <w:color w:val="auto"/>
              </w:rPr>
            </w:pPr>
          </w:p>
        </w:tc>
        <w:tc>
          <w:tcPr>
            <w:tcW w:w="500" w:type="dxa"/>
            <w:vAlign w:val="bottom"/>
            <w:gridSpan w:val="2"/>
          </w:tcPr>
          <w:p>
            <w:pPr>
              <w:jc w:val="center"/>
              <w:ind w:left="239"/>
              <w:spacing w:after="0"/>
              <w:rPr>
                <w:sz w:val="20"/>
                <w:szCs w:val="20"/>
                <w:color w:val="auto"/>
              </w:rPr>
            </w:pPr>
            <w:r>
              <w:rPr>
                <w:rFonts w:ascii="Arial" w:cs="Arial" w:eastAsia="Arial" w:hAnsi="Arial"/>
                <w:sz w:val="16"/>
                <w:szCs w:val="16"/>
                <w:color w:val="0000FF"/>
              </w:rPr>
              <w:t>39</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439"/>
        </w:trPr>
        <w:tc>
          <w:tcPr>
            <w:tcW w:w="980" w:type="dxa"/>
            <w:vAlign w:val="bottom"/>
          </w:tcPr>
          <w:p>
            <w:pPr>
              <w:spacing w:after="0"/>
              <w:rPr>
                <w:sz w:val="20"/>
                <w:szCs w:val="20"/>
                <w:color w:val="auto"/>
              </w:rPr>
            </w:pPr>
            <w:r>
              <w:rPr>
                <w:rFonts w:ascii="Arial" w:cs="Arial" w:eastAsia="Arial" w:hAnsi="Arial"/>
                <w:sz w:val="16"/>
                <w:szCs w:val="16"/>
                <w:color w:val="auto"/>
              </w:rPr>
              <w:t>Item 2.</w:t>
            </w:r>
          </w:p>
        </w:tc>
        <w:tc>
          <w:tcPr>
            <w:tcW w:w="9320" w:type="dxa"/>
            <w:vAlign w:val="bottom"/>
            <w:gridSpan w:val="19"/>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500" w:type="dxa"/>
            <w:vAlign w:val="bottom"/>
            <w:gridSpan w:val="2"/>
          </w:tcPr>
          <w:p>
            <w:pPr>
              <w:jc w:val="center"/>
              <w:ind w:left="239"/>
              <w:spacing w:after="0"/>
              <w:rPr>
                <w:sz w:val="20"/>
                <w:szCs w:val="20"/>
                <w:color w:val="auto"/>
              </w:rPr>
            </w:pPr>
            <w:r>
              <w:rPr>
                <w:rFonts w:ascii="Arial" w:cs="Arial" w:eastAsia="Arial" w:hAnsi="Arial"/>
                <w:sz w:val="16"/>
                <w:szCs w:val="16"/>
                <w:color w:val="0000FF"/>
              </w:rPr>
              <w:t>60</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100" w:type="dxa"/>
            <w:vAlign w:val="bottom"/>
            <w:gridSpan w:val="6"/>
            <w:shd w:val="clear" w:color="auto" w:fill="0000FF"/>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439"/>
        </w:trPr>
        <w:tc>
          <w:tcPr>
            <w:tcW w:w="98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gridSpan w:val="6"/>
          </w:tcPr>
          <w:p>
            <w:pPr>
              <w:spacing w:after="0"/>
              <w:rPr>
                <w:sz w:val="20"/>
                <w:szCs w:val="20"/>
                <w:color w:val="auto"/>
              </w:rPr>
            </w:pPr>
            <w:r>
              <w:rPr>
                <w:rFonts w:ascii="Arial" w:cs="Arial" w:eastAsia="Arial" w:hAnsi="Arial"/>
                <w:sz w:val="16"/>
                <w:szCs w:val="16"/>
                <w:color w:val="0000FF"/>
                <w:w w:val="99"/>
              </w:rPr>
              <w:t>Other Information</w:t>
            </w:r>
          </w:p>
        </w:tc>
        <w:tc>
          <w:tcPr>
            <w:tcW w:w="3100" w:type="dxa"/>
            <w:vAlign w:val="bottom"/>
            <w:gridSpan w:val="6"/>
          </w:tcPr>
          <w:p>
            <w:pPr>
              <w:spacing w:after="0"/>
              <w:rPr>
                <w:sz w:val="24"/>
                <w:szCs w:val="24"/>
                <w:color w:val="auto"/>
              </w:rPr>
            </w:pPr>
          </w:p>
        </w:tc>
        <w:tc>
          <w:tcPr>
            <w:tcW w:w="4960" w:type="dxa"/>
            <w:vAlign w:val="bottom"/>
            <w:gridSpan w:val="7"/>
          </w:tcPr>
          <w:p>
            <w:pPr>
              <w:spacing w:after="0"/>
              <w:rPr>
                <w:sz w:val="24"/>
                <w:szCs w:val="24"/>
                <w:color w:val="auto"/>
              </w:rPr>
            </w:pPr>
          </w:p>
        </w:tc>
        <w:tc>
          <w:tcPr>
            <w:tcW w:w="500" w:type="dxa"/>
            <w:vAlign w:val="bottom"/>
            <w:gridSpan w:val="2"/>
          </w:tcPr>
          <w:p>
            <w:pPr>
              <w:jc w:val="center"/>
              <w:ind w:left="239"/>
              <w:spacing w:after="0"/>
              <w:rPr>
                <w:sz w:val="20"/>
                <w:szCs w:val="20"/>
                <w:color w:val="auto"/>
              </w:rPr>
            </w:pPr>
            <w:r>
              <w:rPr>
                <w:rFonts w:ascii="Arial" w:cs="Arial" w:eastAsia="Arial" w:hAnsi="Arial"/>
                <w:sz w:val="16"/>
                <w:szCs w:val="16"/>
                <w:color w:val="0000FF"/>
              </w:rPr>
              <w:t>61</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6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439"/>
        </w:trPr>
        <w:tc>
          <w:tcPr>
            <w:tcW w:w="980" w:type="dxa"/>
            <w:vAlign w:val="bottom"/>
          </w:tcPr>
          <w:p>
            <w:pPr>
              <w:spacing w:after="0"/>
              <w:rPr>
                <w:sz w:val="20"/>
                <w:szCs w:val="20"/>
                <w:color w:val="auto"/>
              </w:rPr>
            </w:pPr>
            <w:r>
              <w:rPr>
                <w:rFonts w:ascii="Arial" w:cs="Arial" w:eastAsia="Arial" w:hAnsi="Arial"/>
                <w:sz w:val="16"/>
                <w:szCs w:val="16"/>
                <w:color w:val="auto"/>
              </w:rPr>
              <w:t>Item 6.</w:t>
            </w:r>
          </w:p>
        </w:tc>
        <w:tc>
          <w:tcPr>
            <w:tcW w:w="1260" w:type="dxa"/>
            <w:vAlign w:val="bottom"/>
            <w:gridSpan w:val="6"/>
          </w:tcPr>
          <w:p>
            <w:pPr>
              <w:spacing w:after="0"/>
              <w:rPr>
                <w:sz w:val="20"/>
                <w:szCs w:val="20"/>
                <w:color w:val="auto"/>
              </w:rPr>
            </w:pPr>
            <w:r>
              <w:rPr>
                <w:rFonts w:ascii="Arial" w:cs="Arial" w:eastAsia="Arial" w:hAnsi="Arial"/>
                <w:sz w:val="16"/>
                <w:szCs w:val="16"/>
                <w:color w:val="0000FF"/>
              </w:rPr>
              <w:t>Exhibits</w:t>
            </w:r>
          </w:p>
        </w:tc>
        <w:tc>
          <w:tcPr>
            <w:tcW w:w="8060" w:type="dxa"/>
            <w:vAlign w:val="bottom"/>
            <w:gridSpan w:val="13"/>
          </w:tcPr>
          <w:p>
            <w:pPr>
              <w:spacing w:after="0"/>
              <w:rPr>
                <w:sz w:val="24"/>
                <w:szCs w:val="24"/>
                <w:color w:val="auto"/>
              </w:rPr>
            </w:pPr>
          </w:p>
        </w:tc>
        <w:tc>
          <w:tcPr>
            <w:tcW w:w="500" w:type="dxa"/>
            <w:vAlign w:val="bottom"/>
            <w:gridSpan w:val="2"/>
          </w:tcPr>
          <w:p>
            <w:pPr>
              <w:jc w:val="center"/>
              <w:ind w:left="239"/>
              <w:spacing w:after="0"/>
              <w:rPr>
                <w:sz w:val="20"/>
                <w:szCs w:val="20"/>
                <w:color w:val="auto"/>
              </w:rPr>
            </w:pPr>
            <w:r>
              <w:rPr>
                <w:rFonts w:ascii="Arial" w:cs="Arial" w:eastAsia="Arial" w:hAnsi="Arial"/>
                <w:sz w:val="16"/>
                <w:szCs w:val="16"/>
                <w:color w:val="0000FF"/>
              </w:rPr>
              <w:t>62</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40" w:type="dxa"/>
            <w:vAlign w:val="bottom"/>
            <w:gridSpan w:val="1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439"/>
        </w:trPr>
        <w:tc>
          <w:tcPr>
            <w:tcW w:w="98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6"/>
                <w:szCs w:val="16"/>
                <w:color w:val="0000FF"/>
                <w:w w:val="99"/>
              </w:rPr>
              <w:t>Signatures</w:t>
            </w:r>
          </w:p>
        </w:tc>
        <w:tc>
          <w:tcPr>
            <w:tcW w:w="8540" w:type="dxa"/>
            <w:vAlign w:val="bottom"/>
            <w:gridSpan w:val="16"/>
          </w:tcPr>
          <w:p>
            <w:pPr>
              <w:spacing w:after="0"/>
              <w:rPr>
                <w:sz w:val="24"/>
                <w:szCs w:val="24"/>
                <w:color w:val="auto"/>
              </w:rPr>
            </w:pPr>
          </w:p>
        </w:tc>
        <w:tc>
          <w:tcPr>
            <w:tcW w:w="500" w:type="dxa"/>
            <w:vAlign w:val="bottom"/>
            <w:gridSpan w:val="2"/>
          </w:tcPr>
          <w:p>
            <w:pPr>
              <w:jc w:val="center"/>
              <w:ind w:left="239"/>
              <w:spacing w:after="0"/>
              <w:rPr>
                <w:sz w:val="20"/>
                <w:szCs w:val="20"/>
                <w:color w:val="auto"/>
              </w:rPr>
            </w:pPr>
            <w:r>
              <w:rPr>
                <w:rFonts w:ascii="Arial" w:cs="Arial" w:eastAsia="Arial" w:hAnsi="Arial"/>
                <w:sz w:val="16"/>
                <w:szCs w:val="16"/>
                <w:color w:val="0000FF"/>
              </w:rPr>
              <w:t>63</w:t>
            </w:r>
          </w:p>
        </w:tc>
        <w:tc>
          <w:tcPr>
            <w:tcW w:w="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54864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Part I</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 2023</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E3E3E3"/>
          </w:tcPr>
          <w:p>
            <w:pPr>
              <w:spacing w:after="0"/>
              <w:rPr>
                <w:sz w:val="21"/>
                <w:szCs w:val="21"/>
                <w:color w:val="auto"/>
              </w:rPr>
            </w:pPr>
          </w:p>
        </w:tc>
        <w:tc>
          <w:tcPr>
            <w:tcW w:w="120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380" w:type="dxa"/>
            <w:vAlign w:val="bottom"/>
            <w:tcBorders>
              <w:top w:val="single" w:sz="8" w:color="auto"/>
            </w:tcBorders>
            <w:shd w:val="clear" w:color="auto" w:fill="E3E3E3"/>
          </w:tcPr>
          <w:p>
            <w:pPr>
              <w:spacing w:after="0"/>
              <w:rPr>
                <w:sz w:val="21"/>
                <w:szCs w:val="21"/>
                <w:color w:val="auto"/>
              </w:rPr>
            </w:pPr>
          </w:p>
        </w:tc>
        <w:tc>
          <w:tcPr>
            <w:tcW w:w="1180" w:type="dxa"/>
            <w:vAlign w:val="bottom"/>
            <w:tcBorders>
              <w:top w:val="single" w:sz="8" w:color="auto"/>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1,373.7</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1,135.3</w:t>
            </w:r>
          </w:p>
        </w:tc>
        <w:tc>
          <w:tcPr>
            <w:tcW w:w="0" w:type="dxa"/>
            <w:vAlign w:val="bottom"/>
          </w:tcPr>
          <w:p>
            <w:pPr>
              <w:spacing w:after="0"/>
              <w:rPr>
                <w:sz w:val="1"/>
                <w:szCs w:val="1"/>
                <w:color w:val="auto"/>
              </w:rPr>
            </w:pPr>
          </w:p>
        </w:tc>
      </w:tr>
      <w:tr>
        <w:trPr>
          <w:trHeight w:val="235"/>
        </w:trPr>
        <w:tc>
          <w:tcPr>
            <w:tcW w:w="8000" w:type="dxa"/>
            <w:vAlign w:val="bottom"/>
          </w:tcPr>
          <w:p>
            <w:pPr>
              <w:ind w:left="240"/>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1,254.7</w:t>
            </w:r>
          </w:p>
        </w:tc>
        <w:tc>
          <w:tcPr>
            <w:tcW w:w="0" w:type="dxa"/>
            <w:vAlign w:val="bottom"/>
          </w:tcPr>
          <w:p>
            <w:pPr>
              <w:spacing w:after="0"/>
              <w:rPr>
                <w:sz w:val="1"/>
                <w:szCs w:val="1"/>
                <w:color w:val="auto"/>
              </w:rPr>
            </w:pPr>
          </w:p>
        </w:tc>
      </w:tr>
      <w:tr>
        <w:trPr>
          <w:trHeight w:val="223"/>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Accounts receivable, net of allowance for credit losses of $8.2 and $7.8 as of April 30, 2024 and July 31,</w:t>
            </w:r>
          </w:p>
        </w:tc>
        <w:tc>
          <w:tcPr>
            <w:tcW w:w="360" w:type="dxa"/>
            <w:vAlign w:val="bottom"/>
            <w:shd w:val="clear" w:color="auto" w:fill="E3E3E3"/>
          </w:tcPr>
          <w:p>
            <w:pPr>
              <w:spacing w:after="0"/>
              <w:rPr>
                <w:sz w:val="19"/>
                <w:szCs w:val="19"/>
                <w:color w:val="auto"/>
              </w:rPr>
            </w:pPr>
          </w:p>
        </w:tc>
        <w:tc>
          <w:tcPr>
            <w:tcW w:w="12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380" w:type="dxa"/>
            <w:vAlign w:val="bottom"/>
            <w:shd w:val="clear" w:color="auto" w:fill="E3E3E3"/>
          </w:tcPr>
          <w:p>
            <w:pPr>
              <w:spacing w:after="0"/>
              <w:rPr>
                <w:sz w:val="19"/>
                <w:szCs w:val="19"/>
                <w:color w:val="auto"/>
              </w:rPr>
            </w:pPr>
          </w:p>
        </w:tc>
        <w:tc>
          <w:tcPr>
            <w:tcW w:w="11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2023, respectively</w:t>
            </w:r>
          </w:p>
        </w:tc>
        <w:tc>
          <w:tcPr>
            <w:tcW w:w="360" w:type="dxa"/>
            <w:vAlign w:val="bottom"/>
            <w:shd w:val="clear" w:color="auto" w:fill="E3E3E3"/>
          </w:tcPr>
          <w:p>
            <w:pPr>
              <w:spacing w:after="0"/>
              <w:rPr>
                <w:sz w:val="20"/>
                <w:szCs w:val="20"/>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1,715.4</w:t>
            </w:r>
          </w:p>
        </w:tc>
        <w:tc>
          <w:tcPr>
            <w:tcW w:w="120" w:type="dxa"/>
            <w:vAlign w:val="bottom"/>
            <w:shd w:val="clear" w:color="auto" w:fill="E3E3E3"/>
          </w:tcPr>
          <w:p>
            <w:pPr>
              <w:spacing w:after="0"/>
              <w:rPr>
                <w:sz w:val="20"/>
                <w:szCs w:val="20"/>
                <w:color w:val="auto"/>
              </w:rPr>
            </w:pPr>
          </w:p>
        </w:tc>
        <w:tc>
          <w:tcPr>
            <w:tcW w:w="380" w:type="dxa"/>
            <w:vAlign w:val="bottom"/>
            <w:shd w:val="clear" w:color="auto" w:fill="E3E3E3"/>
          </w:tcPr>
          <w:p>
            <w:pPr>
              <w:spacing w:after="0"/>
              <w:rPr>
                <w:sz w:val="20"/>
                <w:szCs w:val="20"/>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2,463.2</w:t>
            </w:r>
          </w:p>
        </w:tc>
        <w:tc>
          <w:tcPr>
            <w:tcW w:w="0" w:type="dxa"/>
            <w:vAlign w:val="bottom"/>
          </w:tcPr>
          <w:p>
            <w:pPr>
              <w:spacing w:after="0"/>
              <w:rPr>
                <w:sz w:val="1"/>
                <w:szCs w:val="1"/>
                <w:color w:val="auto"/>
              </w:rPr>
            </w:pPr>
          </w:p>
        </w:tc>
      </w:tr>
      <w:tr>
        <w:trPr>
          <w:trHeight w:val="235"/>
        </w:trPr>
        <w:tc>
          <w:tcPr>
            <w:tcW w:w="8000" w:type="dxa"/>
            <w:vAlign w:val="bottom"/>
          </w:tcPr>
          <w:p>
            <w:pPr>
              <w:ind w:left="240"/>
              <w:spacing w:after="0"/>
              <w:rPr>
                <w:sz w:val="20"/>
                <w:szCs w:val="20"/>
                <w:color w:val="auto"/>
              </w:rPr>
            </w:pPr>
            <w:r>
              <w:rPr>
                <w:rFonts w:ascii="Arial" w:cs="Arial" w:eastAsia="Arial" w:hAnsi="Arial"/>
                <w:sz w:val="16"/>
                <w:szCs w:val="16"/>
                <w:color w:val="auto"/>
              </w:rPr>
              <w:t>Short-term financing receivables,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Short-term deferred contract costs</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337.0</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466.8</w:t>
            </w:r>
          </w:p>
        </w:tc>
        <w:tc>
          <w:tcPr>
            <w:tcW w:w="0" w:type="dxa"/>
            <w:vAlign w:val="bottom"/>
          </w:tcPr>
          <w:p>
            <w:pPr>
              <w:spacing w:after="0"/>
              <w:rPr>
                <w:sz w:val="1"/>
                <w:szCs w:val="1"/>
                <w:color w:val="auto"/>
              </w:rPr>
            </w:pPr>
          </w:p>
        </w:tc>
      </w:tr>
      <w:tr>
        <w:trPr>
          <w:trHeight w:val="243"/>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5,918.8</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6,048.0</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354.5</w:t>
            </w: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369.7</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3,047.9</w:t>
            </w: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Long-term financing receivables, net</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882.5</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653.3</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Long-term deferred contract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547.1</w:t>
            </w: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3,372.7</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2,926.8</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315.4</w:t>
            </w: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2,291.9</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268"/>
        </w:trPr>
        <w:tc>
          <w:tcPr>
            <w:tcW w:w="800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17,930.8</w:t>
            </w:r>
          </w:p>
        </w:tc>
        <w:tc>
          <w:tcPr>
            <w:tcW w:w="12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14,501.1</w:t>
            </w:r>
          </w:p>
        </w:tc>
        <w:tc>
          <w:tcPr>
            <w:tcW w:w="0" w:type="dxa"/>
            <w:vAlign w:val="bottom"/>
          </w:tcPr>
          <w:p>
            <w:pPr>
              <w:spacing w:after="0"/>
              <w:rPr>
                <w:sz w:val="1"/>
                <w:szCs w:val="1"/>
                <w:color w:val="auto"/>
              </w:rPr>
            </w:pPr>
          </w:p>
        </w:tc>
      </w:tr>
      <w:tr>
        <w:trPr>
          <w:trHeight w:val="20"/>
        </w:trPr>
        <w:tc>
          <w:tcPr>
            <w:tcW w:w="8000" w:type="dxa"/>
            <w:vAlign w:val="bottom"/>
            <w:tcBorders>
              <w:top w:val="single" w:sz="8" w:color="E3E3E3"/>
              <w:bottom w:val="single" w:sz="8" w:color="E3E3E3"/>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top w:val="single" w:sz="8" w:color="E3E3E3"/>
              <w:bottom w:val="single" w:sz="8" w:color="auto"/>
            </w:tcBorders>
          </w:tcPr>
          <w:p>
            <w:pPr>
              <w:spacing w:after="0" w:line="20" w:lineRule="exact"/>
              <w:rPr>
                <w:sz w:val="1"/>
                <w:szCs w:val="1"/>
                <w:color w:val="auto"/>
              </w:rPr>
            </w:pPr>
          </w:p>
        </w:tc>
        <w:tc>
          <w:tcPr>
            <w:tcW w:w="120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bottom w:val="single" w:sz="8" w:color="auto"/>
            </w:tcBorders>
          </w:tcPr>
          <w:p>
            <w:pPr>
              <w:spacing w:after="0" w:line="20" w:lineRule="exact"/>
              <w:rPr>
                <w:sz w:val="1"/>
                <w:szCs w:val="1"/>
                <w:color w:val="auto"/>
              </w:rPr>
            </w:pPr>
          </w:p>
        </w:tc>
        <w:tc>
          <w:tcPr>
            <w:tcW w:w="118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Accrued compensation</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385.9</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548.3</w:t>
            </w:r>
          </w:p>
        </w:tc>
        <w:tc>
          <w:tcPr>
            <w:tcW w:w="0" w:type="dxa"/>
            <w:vAlign w:val="bottom"/>
          </w:tcPr>
          <w:p>
            <w:pPr>
              <w:spacing w:after="0"/>
              <w:rPr>
                <w:sz w:val="1"/>
                <w:szCs w:val="1"/>
                <w:color w:val="auto"/>
              </w:rPr>
            </w:pPr>
          </w:p>
        </w:tc>
      </w:tr>
      <w:tr>
        <w:trPr>
          <w:trHeight w:val="235"/>
        </w:trPr>
        <w:tc>
          <w:tcPr>
            <w:tcW w:w="8000" w:type="dxa"/>
            <w:vAlign w:val="bottom"/>
          </w:tcPr>
          <w:p>
            <w:pPr>
              <w:ind w:left="240"/>
              <w:spacing w:after="0"/>
              <w:rPr>
                <w:sz w:val="20"/>
                <w:szCs w:val="20"/>
                <w:color w:val="auto"/>
              </w:rPr>
            </w:pPr>
            <w:r>
              <w:rPr>
                <w:rFonts w:ascii="Arial" w:cs="Arial" w:eastAsia="Arial" w:hAnsi="Arial"/>
                <w:sz w:val="16"/>
                <w:szCs w:val="16"/>
                <w:color w:val="auto"/>
              </w:rPr>
              <w:t>Accrued and other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390.8</w:t>
            </w: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5,014.9</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4,674.6</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Convertible senior notes, net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1,162.5</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1,991.5</w:t>
            </w:r>
          </w:p>
        </w:tc>
        <w:tc>
          <w:tcPr>
            <w:tcW w:w="0" w:type="dxa"/>
            <w:vAlign w:val="bottom"/>
          </w:tcPr>
          <w:p>
            <w:pPr>
              <w:spacing w:after="0"/>
              <w:rPr>
                <w:sz w:val="1"/>
                <w:szCs w:val="1"/>
                <w:color w:val="auto"/>
              </w:rPr>
            </w:pPr>
          </w:p>
        </w:tc>
      </w:tr>
      <w:tr>
        <w:trPr>
          <w:trHeight w:val="243"/>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7,084.8</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7,737.5</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Long-term deferred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5,152.7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4,621.8</w:t>
            </w: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Deferred tax liabilities</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503.0</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279.2</w:t>
            </w:r>
          </w:p>
        </w:tc>
        <w:tc>
          <w:tcPr>
            <w:tcW w:w="0" w:type="dxa"/>
            <w:vAlign w:val="bottom"/>
          </w:tcPr>
          <w:p>
            <w:pPr>
              <w:spacing w:after="0"/>
              <w:rPr>
                <w:sz w:val="1"/>
                <w:szCs w:val="1"/>
                <w:color w:val="auto"/>
              </w:rPr>
            </w:pPr>
          </w:p>
        </w:tc>
      </w:tr>
      <w:tr>
        <w:trPr>
          <w:trHeight w:val="244"/>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352.7</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13,463.0</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12,752.7</w:t>
            </w:r>
          </w:p>
        </w:tc>
        <w:tc>
          <w:tcPr>
            <w:tcW w:w="0" w:type="dxa"/>
            <w:vAlign w:val="bottom"/>
          </w:tcPr>
          <w:p>
            <w:pPr>
              <w:spacing w:after="0"/>
              <w:rPr>
                <w:sz w:val="1"/>
                <w:szCs w:val="1"/>
                <w:color w:val="auto"/>
              </w:rPr>
            </w:pPr>
          </w:p>
        </w:tc>
      </w:tr>
      <w:tr>
        <w:trPr>
          <w:trHeight w:val="230"/>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shd w:val="clear" w:color="auto" w:fill="E3E3E3"/>
          </w:tcPr>
          <w:p>
            <w:pPr>
              <w:spacing w:after="0"/>
              <w:rPr>
                <w:sz w:val="19"/>
                <w:szCs w:val="19"/>
                <w:color w:val="auto"/>
              </w:rPr>
            </w:pPr>
          </w:p>
        </w:tc>
        <w:tc>
          <w:tcPr>
            <w:tcW w:w="12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380" w:type="dxa"/>
            <w:vAlign w:val="bottom"/>
            <w:shd w:val="clear" w:color="auto" w:fill="E3E3E3"/>
          </w:tcPr>
          <w:p>
            <w:pPr>
              <w:spacing w:after="0"/>
              <w:rPr>
                <w:sz w:val="19"/>
                <w:szCs w:val="19"/>
                <w:color w:val="auto"/>
              </w:rPr>
            </w:pPr>
          </w:p>
        </w:tc>
        <w:tc>
          <w:tcPr>
            <w:tcW w:w="11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Preferred stock; $0.0001 par value; 100.0 shares authorized; none issued and outstanding as of April 30,</w:t>
            </w:r>
          </w:p>
        </w:tc>
        <w:tc>
          <w:tcPr>
            <w:tcW w:w="360" w:type="dxa"/>
            <w:vAlign w:val="bottom"/>
            <w:shd w:val="clear" w:color="auto" w:fill="E3E3E3"/>
          </w:tcPr>
          <w:p>
            <w:pPr>
              <w:spacing w:after="0"/>
              <w:rPr>
                <w:sz w:val="19"/>
                <w:szCs w:val="19"/>
                <w:color w:val="auto"/>
              </w:rPr>
            </w:pPr>
          </w:p>
        </w:tc>
        <w:tc>
          <w:tcPr>
            <w:tcW w:w="12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380" w:type="dxa"/>
            <w:vAlign w:val="bottom"/>
            <w:shd w:val="clear" w:color="auto" w:fill="E3E3E3"/>
          </w:tcPr>
          <w:p>
            <w:pPr>
              <w:spacing w:after="0"/>
              <w:rPr>
                <w:sz w:val="19"/>
                <w:szCs w:val="19"/>
                <w:color w:val="auto"/>
              </w:rPr>
            </w:pPr>
          </w:p>
        </w:tc>
        <w:tc>
          <w:tcPr>
            <w:tcW w:w="11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2024 and July 31, 2023</w:t>
            </w:r>
          </w:p>
        </w:tc>
        <w:tc>
          <w:tcPr>
            <w:tcW w:w="360" w:type="dxa"/>
            <w:vAlign w:val="bottom"/>
            <w:shd w:val="clear" w:color="auto" w:fill="E3E3E3"/>
          </w:tcPr>
          <w:p>
            <w:pPr>
              <w:spacing w:after="0"/>
              <w:rPr>
                <w:sz w:val="20"/>
                <w:szCs w:val="20"/>
                <w:color w:val="auto"/>
              </w:rPr>
            </w:pPr>
          </w:p>
        </w:tc>
        <w:tc>
          <w:tcPr>
            <w:tcW w:w="13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3E3E3"/>
          </w:tcPr>
          <w:p>
            <w:pPr>
              <w:spacing w:after="0"/>
              <w:rPr>
                <w:sz w:val="20"/>
                <w:szCs w:val="20"/>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00" w:type="dxa"/>
            <w:vAlign w:val="bottom"/>
          </w:tcPr>
          <w:p>
            <w:pPr>
              <w:ind w:left="240"/>
              <w:spacing w:after="0"/>
              <w:rPr>
                <w:sz w:val="20"/>
                <w:szCs w:val="20"/>
                <w:color w:val="auto"/>
              </w:rPr>
            </w:pPr>
            <w:r>
              <w:rPr>
                <w:rFonts w:ascii="Arial" w:cs="Arial" w:eastAsia="Arial" w:hAnsi="Arial"/>
                <w:sz w:val="16"/>
                <w:szCs w:val="16"/>
                <w:color w:val="auto"/>
              </w:rPr>
              <w:t>Common stock and additional paid-in capital; $0.0001 par value; 1,000.0 shares authorized; 323.4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240"/>
              <w:spacing w:after="0"/>
              <w:rPr>
                <w:sz w:val="20"/>
                <w:szCs w:val="20"/>
                <w:color w:val="auto"/>
              </w:rPr>
            </w:pPr>
            <w:r>
              <w:rPr>
                <w:rFonts w:ascii="Arial" w:cs="Arial" w:eastAsia="Arial" w:hAnsi="Arial"/>
                <w:sz w:val="16"/>
                <w:szCs w:val="16"/>
                <w:color w:val="auto"/>
              </w:rPr>
              <w:t>308.3 shares issued and outstanding as of April 30, 2024 and July 31, 2023, respectively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3,019.0</w:t>
            </w:r>
          </w:p>
        </w:tc>
        <w:tc>
          <w:tcPr>
            <w:tcW w:w="0" w:type="dxa"/>
            <w:vAlign w:val="bottom"/>
          </w:tcPr>
          <w:p>
            <w:pPr>
              <w:spacing w:after="0"/>
              <w:rPr>
                <w:sz w:val="1"/>
                <w:szCs w:val="1"/>
                <w:color w:val="auto"/>
              </w:rPr>
            </w:pPr>
          </w:p>
        </w:tc>
      </w:tr>
      <w:tr>
        <w:trPr>
          <w:trHeight w:val="251"/>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Retained earnings (accumulated deficit)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992.5</w:t>
            </w:r>
          </w:p>
        </w:tc>
        <w:tc>
          <w:tcPr>
            <w:tcW w:w="12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(1,227.4)</w:t>
            </w:r>
          </w:p>
        </w:tc>
        <w:tc>
          <w:tcPr>
            <w:tcW w:w="0" w:type="dxa"/>
            <w:vAlign w:val="bottom"/>
          </w:tcPr>
          <w:p>
            <w:pPr>
              <w:spacing w:after="0"/>
              <w:rPr>
                <w:sz w:val="1"/>
                <w:szCs w:val="1"/>
                <w:color w:val="auto"/>
              </w:rPr>
            </w:pPr>
          </w:p>
        </w:tc>
      </w:tr>
      <w:tr>
        <w:trPr>
          <w:trHeight w:val="236"/>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E3E3E3"/>
          </w:tcPr>
          <w:p>
            <w:pPr>
              <w:spacing w:after="0"/>
              <w:rPr>
                <w:sz w:val="20"/>
                <w:szCs w:val="20"/>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4,467.8</w:t>
            </w:r>
          </w:p>
        </w:tc>
        <w:tc>
          <w:tcPr>
            <w:tcW w:w="120" w:type="dxa"/>
            <w:vAlign w:val="bottom"/>
            <w:shd w:val="clear" w:color="auto" w:fill="E3E3E3"/>
          </w:tcPr>
          <w:p>
            <w:pPr>
              <w:spacing w:after="0"/>
              <w:rPr>
                <w:sz w:val="20"/>
                <w:szCs w:val="20"/>
                <w:color w:val="auto"/>
              </w:rPr>
            </w:pPr>
          </w:p>
        </w:tc>
        <w:tc>
          <w:tcPr>
            <w:tcW w:w="380" w:type="dxa"/>
            <w:vAlign w:val="bottom"/>
            <w:tcBorders>
              <w:bottom w:val="single" w:sz="8" w:color="auto"/>
            </w:tcBorders>
            <w:shd w:val="clear" w:color="auto" w:fill="E3E3E3"/>
          </w:tcPr>
          <w:p>
            <w:pPr>
              <w:spacing w:after="0"/>
              <w:rPr>
                <w:sz w:val="20"/>
                <w:szCs w:val="20"/>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1,748.4</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17,930.8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14,501.1</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condensed consolidated financial statements.</w:t>
      </w:r>
    </w:p>
    <w:p>
      <w:pPr>
        <w:sectPr>
          <w:pgSz w:w="11900" w:h="16838" w:orient="portrait"/>
          <w:cols w:equalWidth="0" w:num="1">
            <w:col w:w="11240"/>
          </w:cols>
          <w:pgMar w:left="320" w:top="233" w:right="339" w:bottom="68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68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380" w:type="dxa"/>
            <w:vAlign w:val="bottom"/>
          </w:tcPr>
          <w:p>
            <w:pPr>
              <w:spacing w:after="0"/>
              <w:rPr>
                <w:sz w:val="17"/>
                <w:szCs w:val="17"/>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April 30,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E3E3E3"/>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3E3E3"/>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E3E3E3"/>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3"/>
        </w:trPr>
        <w:tc>
          <w:tcPr>
            <w:tcW w:w="470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00" w:type="dxa"/>
            <w:vAlign w:val="bottom"/>
          </w:tcPr>
          <w:p>
            <w:pPr>
              <w:ind w:left="240"/>
              <w:spacing w:after="0"/>
              <w:rPr>
                <w:sz w:val="20"/>
                <w:szCs w:val="20"/>
                <w:color w:val="auto"/>
              </w:rPr>
            </w:pPr>
            <w:r>
              <w:rPr>
                <w:rFonts w:ascii="Arial" w:cs="Arial" w:eastAsia="Arial" w:hAnsi="Arial"/>
                <w:sz w:val="16"/>
                <w:szCs w:val="16"/>
                <w:color w:val="auto"/>
              </w:rPr>
              <w:t>Product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391.0</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1,122.8</w:t>
            </w:r>
          </w:p>
        </w:tc>
        <w:tc>
          <w:tcPr>
            <w:tcW w:w="100" w:type="dxa"/>
            <w:vAlign w:val="bottom"/>
          </w:tcPr>
          <w:p>
            <w:pPr>
              <w:spacing w:after="0"/>
              <w:rPr>
                <w:sz w:val="20"/>
                <w:szCs w:val="20"/>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1,071.0</w:t>
            </w:r>
          </w:p>
        </w:tc>
        <w:tc>
          <w:tcPr>
            <w:tcW w:w="0" w:type="dxa"/>
            <w:vAlign w:val="bottom"/>
          </w:tcPr>
          <w:p>
            <w:pPr>
              <w:spacing w:after="0"/>
              <w:rPr>
                <w:sz w:val="1"/>
                <w:szCs w:val="1"/>
                <w:color w:val="auto"/>
              </w:rPr>
            </w:pPr>
          </w:p>
        </w:tc>
      </w:tr>
      <w:tr>
        <w:trPr>
          <w:trHeight w:val="244"/>
        </w:trPr>
        <w:tc>
          <w:tcPr>
            <w:tcW w:w="47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1,593.8</w:t>
            </w:r>
          </w:p>
        </w:tc>
        <w:tc>
          <w:tcPr>
            <w:tcW w:w="100" w:type="dxa"/>
            <w:vAlign w:val="bottom"/>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1,332.8</w:t>
            </w:r>
          </w:p>
        </w:tc>
        <w:tc>
          <w:tcPr>
            <w:tcW w:w="10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4,715.2</w:t>
            </w:r>
          </w:p>
        </w:tc>
        <w:tc>
          <w:tcPr>
            <w:tcW w:w="100" w:type="dxa"/>
            <w:vAlign w:val="bottom"/>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97"/>
              </w:rPr>
              <w:t>3,868.4</w:t>
            </w:r>
          </w:p>
        </w:tc>
        <w:tc>
          <w:tcPr>
            <w:tcW w:w="0" w:type="dxa"/>
            <w:vAlign w:val="bottom"/>
          </w:tcPr>
          <w:p>
            <w:pPr>
              <w:spacing w:after="0"/>
              <w:rPr>
                <w:sz w:val="1"/>
                <w:szCs w:val="1"/>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1,984.8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5,838.0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4,939.4</w:t>
            </w:r>
          </w:p>
        </w:tc>
        <w:tc>
          <w:tcPr>
            <w:tcW w:w="0" w:type="dxa"/>
            <w:vAlign w:val="bottom"/>
          </w:tcPr>
          <w:p>
            <w:pPr>
              <w:spacing w:after="0"/>
              <w:rPr>
                <w:sz w:val="1"/>
                <w:szCs w:val="1"/>
                <w:color w:val="auto"/>
              </w:rPr>
            </w:pPr>
          </w:p>
        </w:tc>
      </w:tr>
      <w:tr>
        <w:trPr>
          <w:trHeight w:val="251"/>
        </w:trPr>
        <w:tc>
          <w:tcPr>
            <w:tcW w:w="470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00" w:type="dxa"/>
            <w:vAlign w:val="bottom"/>
          </w:tcPr>
          <w:p>
            <w:pPr>
              <w:ind w:left="240"/>
              <w:spacing w:after="0"/>
              <w:rPr>
                <w:sz w:val="20"/>
                <w:szCs w:val="20"/>
                <w:color w:val="auto"/>
              </w:rPr>
            </w:pPr>
            <w:r>
              <w:rPr>
                <w:rFonts w:ascii="Arial" w:cs="Arial" w:eastAsia="Arial" w:hAnsi="Arial"/>
                <w:sz w:val="16"/>
                <w:szCs w:val="16"/>
                <w:color w:val="auto"/>
              </w:rPr>
              <w:t>Product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244"/>
        </w:trPr>
        <w:tc>
          <w:tcPr>
            <w:tcW w:w="47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435.7</w:t>
            </w:r>
          </w:p>
        </w:tc>
        <w:tc>
          <w:tcPr>
            <w:tcW w:w="100" w:type="dxa"/>
            <w:vAlign w:val="bottom"/>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381.4</w:t>
            </w:r>
          </w:p>
        </w:tc>
        <w:tc>
          <w:tcPr>
            <w:tcW w:w="10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1,242.0</w:t>
            </w:r>
          </w:p>
        </w:tc>
        <w:tc>
          <w:tcPr>
            <w:tcW w:w="100" w:type="dxa"/>
            <w:vAlign w:val="bottom"/>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97"/>
              </w:rPr>
              <w:t>1,088.9</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Total cost of revenue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513.6</w:t>
            </w:r>
          </w:p>
        </w:tc>
        <w:tc>
          <w:tcPr>
            <w:tcW w:w="100" w:type="dxa"/>
            <w:vAlign w:val="bottom"/>
            <w:tcBorders>
              <w:bottom w:val="single" w:sz="8" w:color="E3E3E3"/>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w:t>
            </w: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1,485.5</w:t>
            </w:r>
          </w:p>
        </w:tc>
        <w:tc>
          <w:tcPr>
            <w:tcW w:w="100" w:type="dxa"/>
            <w:vAlign w:val="bottom"/>
            <w:tcBorders>
              <w:bottom w:val="single" w:sz="8" w:color="E3E3E3"/>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1,402.9</w:t>
            </w:r>
          </w:p>
        </w:tc>
        <w:tc>
          <w:tcPr>
            <w:tcW w:w="0" w:type="dxa"/>
            <w:vAlign w:val="bottom"/>
          </w:tcPr>
          <w:p>
            <w:pPr>
              <w:spacing w:after="0"/>
              <w:rPr>
                <w:sz w:val="1"/>
                <w:szCs w:val="1"/>
                <w:color w:val="auto"/>
              </w:rPr>
            </w:pPr>
          </w:p>
        </w:tc>
      </w:tr>
      <w:tr>
        <w:trPr>
          <w:trHeight w:val="243"/>
        </w:trPr>
        <w:tc>
          <w:tcPr>
            <w:tcW w:w="470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gross profit</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1,471.2</w:t>
            </w: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1,246.1</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4,352.5</w:t>
            </w: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w w:val="97"/>
              </w:rPr>
              <w:t>3,536.5</w:t>
            </w:r>
          </w:p>
        </w:tc>
        <w:tc>
          <w:tcPr>
            <w:tcW w:w="0" w:type="dxa"/>
            <w:vAlign w:val="bottom"/>
          </w:tcPr>
          <w:p>
            <w:pPr>
              <w:spacing w:after="0"/>
              <w:rPr>
                <w:sz w:val="1"/>
                <w:szCs w:val="1"/>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7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457.2</w:t>
            </w: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413.7</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1,314.6</w:t>
            </w: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w w:val="97"/>
              </w:rPr>
              <w:t>1,189.6</w:t>
            </w:r>
          </w:p>
        </w:tc>
        <w:tc>
          <w:tcPr>
            <w:tcW w:w="0" w:type="dxa"/>
            <w:vAlign w:val="bottom"/>
          </w:tcPr>
          <w:p>
            <w:pPr>
              <w:spacing w:after="0"/>
              <w:rPr>
                <w:sz w:val="1"/>
                <w:szCs w:val="1"/>
                <w:color w:val="auto"/>
              </w:rPr>
            </w:pPr>
          </w:p>
        </w:tc>
      </w:tr>
      <w:tr>
        <w:trPr>
          <w:trHeight w:val="235"/>
        </w:trPr>
        <w:tc>
          <w:tcPr>
            <w:tcW w:w="470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718.7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2,052.2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1,880.0</w:t>
            </w:r>
          </w:p>
        </w:tc>
        <w:tc>
          <w:tcPr>
            <w:tcW w:w="0" w:type="dxa"/>
            <w:vAlign w:val="bottom"/>
          </w:tcPr>
          <w:p>
            <w:pPr>
              <w:spacing w:after="0"/>
              <w:rPr>
                <w:sz w:val="1"/>
                <w:szCs w:val="1"/>
                <w:color w:val="auto"/>
              </w:rPr>
            </w:pPr>
          </w:p>
        </w:tc>
      </w:tr>
      <w:tr>
        <w:trPr>
          <w:trHeight w:val="244"/>
        </w:trPr>
        <w:tc>
          <w:tcPr>
            <w:tcW w:w="47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540.2</w:t>
            </w:r>
          </w:p>
        </w:tc>
        <w:tc>
          <w:tcPr>
            <w:tcW w:w="100" w:type="dxa"/>
            <w:vAlign w:val="bottom"/>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333.1</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1,294.5</w:t>
            </w:r>
          </w:p>
        </w:tc>
        <w:tc>
          <w:tcPr>
            <w:tcW w:w="100" w:type="dxa"/>
            <w:vAlign w:val="bottom"/>
            <w:tcBorders>
              <w:bottom w:val="single" w:sz="8" w:color="E3E3E3"/>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1,167.4</w:t>
            </w: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3,907.0</w:t>
            </w:r>
          </w:p>
        </w:tc>
        <w:tc>
          <w:tcPr>
            <w:tcW w:w="100" w:type="dxa"/>
            <w:vAlign w:val="bottom"/>
            <w:tcBorders>
              <w:bottom w:val="single" w:sz="8" w:color="E3E3E3"/>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3,402.7</w:t>
            </w:r>
          </w:p>
        </w:tc>
        <w:tc>
          <w:tcPr>
            <w:tcW w:w="0" w:type="dxa"/>
            <w:vAlign w:val="bottom"/>
          </w:tcPr>
          <w:p>
            <w:pPr>
              <w:spacing w:after="0"/>
              <w:rPr>
                <w:sz w:val="1"/>
                <w:szCs w:val="1"/>
                <w:color w:val="auto"/>
              </w:rPr>
            </w:pPr>
          </w:p>
        </w:tc>
      </w:tr>
      <w:tr>
        <w:trPr>
          <w:trHeight w:val="243"/>
        </w:trPr>
        <w:tc>
          <w:tcPr>
            <w:tcW w:w="4700" w:type="dxa"/>
            <w:vAlign w:val="bottom"/>
            <w:shd w:val="clear" w:color="auto" w:fill="E3E3E3"/>
          </w:tcPr>
          <w:p>
            <w:pPr>
              <w:ind w:left="2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176.7</w:t>
            </w: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44"/>
        </w:trPr>
        <w:tc>
          <w:tcPr>
            <w:tcW w:w="470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231.8</w:t>
            </w:r>
          </w:p>
        </w:tc>
        <w:tc>
          <w:tcPr>
            <w:tcW w:w="100" w:type="dxa"/>
            <w:vAlign w:val="bottom"/>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669.3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244"/>
        </w:trPr>
        <w:tc>
          <w:tcPr>
            <w:tcW w:w="470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(1,550.6)</w:t>
            </w:r>
          </w:p>
        </w:tc>
        <w:tc>
          <w:tcPr>
            <w:tcW w:w="100" w:type="dxa"/>
            <w:vAlign w:val="bottom"/>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2,219.9</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E3E3E3"/>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70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Net income per share, basic</w:t>
            </w:r>
          </w:p>
        </w:tc>
        <w:tc>
          <w:tcPr>
            <w:tcW w:w="360" w:type="dxa"/>
            <w:vAlign w:val="bottom"/>
            <w:tcBorders>
              <w:bottom w:val="single" w:sz="8" w:color="auto"/>
            </w:tcBorders>
            <w:shd w:val="clear" w:color="auto" w:fill="E3E3E3"/>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E3E3E3"/>
            </w:tcBorders>
            <w:shd w:val="clear" w:color="auto" w:fill="E3E3E3"/>
          </w:tcPr>
          <w:p>
            <w:pPr>
              <w:spacing w:after="0"/>
              <w:rPr>
                <w:sz w:val="22"/>
                <w:szCs w:val="22"/>
                <w:color w:val="auto"/>
              </w:rPr>
            </w:pPr>
          </w:p>
        </w:tc>
        <w:tc>
          <w:tcPr>
            <w:tcW w:w="540" w:type="dxa"/>
            <w:vAlign w:val="bottom"/>
            <w:tcBorders>
              <w:bottom w:val="single" w:sz="8" w:color="auto"/>
            </w:tcBorders>
            <w:shd w:val="clear" w:color="auto" w:fill="E3E3E3"/>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E3E3E3"/>
            </w:tcBorders>
            <w:shd w:val="clear" w:color="auto" w:fill="E3E3E3"/>
          </w:tcPr>
          <w:p>
            <w:pPr>
              <w:spacing w:after="0"/>
              <w:rPr>
                <w:sz w:val="22"/>
                <w:szCs w:val="22"/>
                <w:color w:val="auto"/>
              </w:rPr>
            </w:pPr>
          </w:p>
        </w:tc>
        <w:tc>
          <w:tcPr>
            <w:tcW w:w="940" w:type="dxa"/>
            <w:vAlign w:val="bottom"/>
            <w:tcBorders>
              <w:bottom w:val="single" w:sz="8" w:color="auto"/>
            </w:tcBorders>
            <w:shd w:val="clear" w:color="auto" w:fill="E3E3E3"/>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4700" w:type="dxa"/>
            <w:vAlign w:val="bottom"/>
            <w:tcBorders>
              <w:top w:val="single" w:sz="8" w:color="E3E3E3"/>
            </w:tcBorders>
          </w:tcPr>
          <w:p>
            <w:pPr>
              <w:spacing w:after="0" w:line="20" w:lineRule="exact"/>
              <w:rPr>
                <w:sz w:val="1"/>
                <w:szCs w:val="1"/>
                <w:color w:val="auto"/>
              </w:rPr>
            </w:pPr>
          </w:p>
        </w:tc>
        <w:tc>
          <w:tcPr>
            <w:tcW w:w="360" w:type="dxa"/>
            <w:vAlign w:val="bottom"/>
            <w:tcBorders>
              <w:top w:val="single" w:sz="8" w:color="E3E3E3"/>
              <w:bottom w:val="single" w:sz="8" w:color="auto"/>
            </w:tcBorders>
          </w:tcPr>
          <w:p>
            <w:pPr>
              <w:spacing w:after="0" w:line="20" w:lineRule="exact"/>
              <w:rPr>
                <w:sz w:val="1"/>
                <w:szCs w:val="1"/>
                <w:color w:val="auto"/>
              </w:rPr>
            </w:pPr>
          </w:p>
        </w:tc>
        <w:tc>
          <w:tcPr>
            <w:tcW w:w="120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540" w:type="dxa"/>
            <w:vAlign w:val="bottom"/>
            <w:tcBorders>
              <w:top w:val="single" w:sz="8" w:color="E3E3E3"/>
              <w:bottom w:val="single" w:sz="8" w:color="auto"/>
            </w:tcBorders>
          </w:tcPr>
          <w:p>
            <w:pPr>
              <w:spacing w:after="0" w:line="20" w:lineRule="exact"/>
              <w:rPr>
                <w:sz w:val="1"/>
                <w:szCs w:val="1"/>
                <w:color w:val="auto"/>
              </w:rPr>
            </w:pPr>
          </w:p>
        </w:tc>
        <w:tc>
          <w:tcPr>
            <w:tcW w:w="10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bottom w:val="single" w:sz="8" w:color="auto"/>
            </w:tcBorders>
          </w:tcPr>
          <w:p>
            <w:pPr>
              <w:spacing w:after="0" w:line="20" w:lineRule="exact"/>
              <w:rPr>
                <w:sz w:val="1"/>
                <w:szCs w:val="1"/>
                <w:color w:val="auto"/>
              </w:rPr>
            </w:pPr>
          </w:p>
        </w:tc>
        <w:tc>
          <w:tcPr>
            <w:tcW w:w="118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940" w:type="dxa"/>
            <w:vAlign w:val="bottom"/>
            <w:tcBorders>
              <w:top w:val="single" w:sz="8" w:color="E3E3E3"/>
              <w:bottom w:val="single" w:sz="8" w:color="auto"/>
            </w:tcBorders>
          </w:tcPr>
          <w:p>
            <w:pPr>
              <w:spacing w:after="0" w:line="20" w:lineRule="exact"/>
              <w:rPr>
                <w:sz w:val="1"/>
                <w:szCs w:val="1"/>
                <w:color w:val="auto"/>
              </w:rPr>
            </w:pPr>
          </w:p>
        </w:tc>
        <w:tc>
          <w:tcPr>
            <w:tcW w:w="62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ind w:left="20"/>
              <w:spacing w:after="0"/>
              <w:rPr>
                <w:sz w:val="20"/>
                <w:szCs w:val="20"/>
                <w:color w:val="auto"/>
              </w:rPr>
            </w:pPr>
            <w:r>
              <w:rPr>
                <w:rFonts w:ascii="Arial" w:cs="Arial" w:eastAsia="Arial" w:hAnsi="Arial"/>
                <w:sz w:val="16"/>
                <w:szCs w:val="16"/>
                <w:color w:val="auto"/>
              </w:rPr>
              <w:t>Net income per share, diluted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E3E3E3"/>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shd w:val="clear" w:color="auto" w:fill="E3E3E3"/>
          </w:tcPr>
          <w:p>
            <w:pPr>
              <w:ind w:left="20"/>
              <w:spacing w:after="0" w:line="182" w:lineRule="exact"/>
              <w:rPr>
                <w:sz w:val="20"/>
                <w:szCs w:val="20"/>
                <w:color w:val="auto"/>
              </w:rPr>
            </w:pPr>
            <w:r>
              <w:rPr>
                <w:rFonts w:ascii="Arial" w:cs="Arial" w:eastAsia="Arial" w:hAnsi="Arial"/>
                <w:sz w:val="16"/>
                <w:szCs w:val="16"/>
                <w:color w:val="auto"/>
              </w:rPr>
              <w:t>Weighted-average shares used to compute net income per</w:t>
            </w:r>
          </w:p>
        </w:tc>
        <w:tc>
          <w:tcPr>
            <w:tcW w:w="360" w:type="dxa"/>
            <w:vAlign w:val="bottom"/>
            <w:shd w:val="clear" w:color="auto" w:fill="E3E3E3"/>
          </w:tcPr>
          <w:p>
            <w:pPr>
              <w:spacing w:after="0"/>
              <w:rPr>
                <w:sz w:val="15"/>
                <w:szCs w:val="15"/>
                <w:color w:val="auto"/>
              </w:rPr>
            </w:pPr>
          </w:p>
        </w:tc>
        <w:tc>
          <w:tcPr>
            <w:tcW w:w="120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322.9</w:t>
            </w:r>
          </w:p>
        </w:tc>
        <w:tc>
          <w:tcPr>
            <w:tcW w:w="100" w:type="dxa"/>
            <w:vAlign w:val="bottom"/>
            <w:shd w:val="clear" w:color="auto" w:fill="E3E3E3"/>
          </w:tcPr>
          <w:p>
            <w:pPr>
              <w:spacing w:after="0"/>
              <w:rPr>
                <w:sz w:val="15"/>
                <w:szCs w:val="15"/>
                <w:color w:val="auto"/>
              </w:rPr>
            </w:pPr>
          </w:p>
        </w:tc>
        <w:tc>
          <w:tcPr>
            <w:tcW w:w="540" w:type="dxa"/>
            <w:vAlign w:val="bottom"/>
            <w:shd w:val="clear" w:color="auto" w:fill="E3E3E3"/>
          </w:tcPr>
          <w:p>
            <w:pPr>
              <w:spacing w:after="0"/>
              <w:rPr>
                <w:sz w:val="15"/>
                <w:szCs w:val="15"/>
                <w:color w:val="auto"/>
              </w:rPr>
            </w:pPr>
          </w:p>
        </w:tc>
        <w:tc>
          <w:tcPr>
            <w:tcW w:w="102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303.9</w:t>
            </w:r>
          </w:p>
        </w:tc>
        <w:tc>
          <w:tcPr>
            <w:tcW w:w="100" w:type="dxa"/>
            <w:vAlign w:val="bottom"/>
            <w:shd w:val="clear" w:color="auto" w:fill="E3E3E3"/>
          </w:tcPr>
          <w:p>
            <w:pPr>
              <w:spacing w:after="0"/>
              <w:rPr>
                <w:sz w:val="15"/>
                <w:szCs w:val="15"/>
                <w:color w:val="auto"/>
              </w:rPr>
            </w:pPr>
          </w:p>
        </w:tc>
        <w:tc>
          <w:tcPr>
            <w:tcW w:w="380" w:type="dxa"/>
            <w:vAlign w:val="bottom"/>
            <w:shd w:val="clear" w:color="auto" w:fill="E3E3E3"/>
          </w:tcPr>
          <w:p>
            <w:pPr>
              <w:spacing w:after="0"/>
              <w:rPr>
                <w:sz w:val="15"/>
                <w:szCs w:val="15"/>
                <w:color w:val="auto"/>
              </w:rPr>
            </w:pPr>
          </w:p>
        </w:tc>
        <w:tc>
          <w:tcPr>
            <w:tcW w:w="118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317.5</w:t>
            </w:r>
          </w:p>
        </w:tc>
        <w:tc>
          <w:tcPr>
            <w:tcW w:w="100" w:type="dxa"/>
            <w:vAlign w:val="bottom"/>
            <w:shd w:val="clear" w:color="auto" w:fill="E3E3E3"/>
          </w:tcPr>
          <w:p>
            <w:pPr>
              <w:spacing w:after="0"/>
              <w:rPr>
                <w:sz w:val="15"/>
                <w:szCs w:val="15"/>
                <w:color w:val="auto"/>
              </w:rPr>
            </w:pPr>
          </w:p>
        </w:tc>
        <w:tc>
          <w:tcPr>
            <w:tcW w:w="940" w:type="dxa"/>
            <w:vAlign w:val="bottom"/>
            <w:shd w:val="clear" w:color="auto" w:fill="E3E3E3"/>
          </w:tcPr>
          <w:p>
            <w:pPr>
              <w:spacing w:after="0"/>
              <w:rPr>
                <w:sz w:val="15"/>
                <w:szCs w:val="15"/>
                <w:color w:val="auto"/>
              </w:rPr>
            </w:pPr>
          </w:p>
        </w:tc>
        <w:tc>
          <w:tcPr>
            <w:tcW w:w="62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share, basic</w:t>
            </w:r>
          </w:p>
        </w:tc>
        <w:tc>
          <w:tcPr>
            <w:tcW w:w="360" w:type="dxa"/>
            <w:vAlign w:val="bottom"/>
            <w:tcBorders>
              <w:bottom w:val="single" w:sz="8" w:color="auto"/>
            </w:tcBorders>
            <w:shd w:val="clear" w:color="auto" w:fill="E3E3E3"/>
          </w:tcPr>
          <w:p>
            <w:pPr>
              <w:spacing w:after="0"/>
              <w:rPr>
                <w:sz w:val="19"/>
                <w:szCs w:val="19"/>
                <w:color w:val="auto"/>
              </w:rPr>
            </w:pPr>
          </w:p>
        </w:tc>
        <w:tc>
          <w:tcPr>
            <w:tcW w:w="1200" w:type="dxa"/>
            <w:vAlign w:val="bottom"/>
            <w:tcBorders>
              <w:bottom w:val="single" w:sz="8" w:color="auto"/>
            </w:tcBorders>
            <w:vMerge w:val="continue"/>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540" w:type="dxa"/>
            <w:vAlign w:val="bottom"/>
            <w:tcBorders>
              <w:bottom w:val="single" w:sz="8" w:color="auto"/>
            </w:tcBorders>
            <w:shd w:val="clear" w:color="auto" w:fill="E3E3E3"/>
          </w:tcPr>
          <w:p>
            <w:pPr>
              <w:spacing w:after="0"/>
              <w:rPr>
                <w:sz w:val="19"/>
                <w:szCs w:val="19"/>
                <w:color w:val="auto"/>
              </w:rPr>
            </w:pPr>
          </w:p>
        </w:tc>
        <w:tc>
          <w:tcPr>
            <w:tcW w:w="1020" w:type="dxa"/>
            <w:vAlign w:val="bottom"/>
            <w:tcBorders>
              <w:bottom w:val="single" w:sz="8" w:color="auto"/>
            </w:tcBorders>
            <w:vMerge w:val="continue"/>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380" w:type="dxa"/>
            <w:vAlign w:val="bottom"/>
            <w:tcBorders>
              <w:bottom w:val="single" w:sz="8" w:color="auto"/>
            </w:tcBorders>
            <w:shd w:val="clear" w:color="auto" w:fill="E3E3E3"/>
          </w:tcPr>
          <w:p>
            <w:pPr>
              <w:spacing w:after="0"/>
              <w:rPr>
                <w:sz w:val="19"/>
                <w:szCs w:val="19"/>
                <w:color w:val="auto"/>
              </w:rPr>
            </w:pPr>
          </w:p>
        </w:tc>
        <w:tc>
          <w:tcPr>
            <w:tcW w:w="1180" w:type="dxa"/>
            <w:vAlign w:val="bottom"/>
            <w:tcBorders>
              <w:bottom w:val="single" w:sz="8" w:color="auto"/>
            </w:tcBorders>
            <w:vMerge w:val="continue"/>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940" w:type="dxa"/>
            <w:vAlign w:val="bottom"/>
            <w:tcBorders>
              <w:bottom w:val="single" w:sz="8" w:color="auto"/>
            </w:tcBorders>
            <w:shd w:val="clear" w:color="auto" w:fill="E3E3E3"/>
          </w:tcPr>
          <w:p>
            <w:pPr>
              <w:spacing w:after="0"/>
              <w:rPr>
                <w:sz w:val="19"/>
                <w:szCs w:val="19"/>
                <w:color w:val="auto"/>
              </w:rPr>
            </w:pPr>
          </w:p>
        </w:tc>
        <w:tc>
          <w:tcPr>
            <w:tcW w:w="620" w:type="dxa"/>
            <w:vAlign w:val="bottom"/>
            <w:tcBorders>
              <w:bottom w:val="single" w:sz="8" w:color="auto"/>
            </w:tcBorders>
            <w:vMerge w:val="continue"/>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E3E3E3"/>
              <w:bottom w:val="single" w:sz="8" w:color="E3E3E3"/>
            </w:tcBorders>
            <w:vMerge w:val="restart"/>
          </w:tcPr>
          <w:p>
            <w:pPr>
              <w:ind w:left="20"/>
              <w:spacing w:after="0"/>
              <w:rPr>
                <w:sz w:val="20"/>
                <w:szCs w:val="20"/>
                <w:color w:val="auto"/>
              </w:rPr>
            </w:pPr>
            <w:r>
              <w:rPr>
                <w:rFonts w:ascii="Arial" w:cs="Arial" w:eastAsia="Arial" w:hAnsi="Arial"/>
                <w:sz w:val="16"/>
                <w:szCs w:val="16"/>
                <w:color w:val="auto"/>
              </w:rPr>
              <w:t>Weighted-average shares used to compute net income per</w:t>
            </w:r>
          </w:p>
        </w:tc>
        <w:tc>
          <w:tcPr>
            <w:tcW w:w="360" w:type="dxa"/>
            <w:vAlign w:val="bottom"/>
            <w:tcBorders>
              <w:top w:val="single" w:sz="8" w:color="E3E3E3"/>
              <w:bottom w:val="single" w:sz="8" w:color="auto"/>
            </w:tcBorders>
          </w:tcPr>
          <w:p>
            <w:pPr>
              <w:spacing w:after="0" w:line="20" w:lineRule="exact"/>
              <w:rPr>
                <w:sz w:val="1"/>
                <w:szCs w:val="1"/>
                <w:color w:val="auto"/>
              </w:rPr>
            </w:pPr>
          </w:p>
        </w:tc>
        <w:tc>
          <w:tcPr>
            <w:tcW w:w="120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540" w:type="dxa"/>
            <w:vAlign w:val="bottom"/>
            <w:tcBorders>
              <w:top w:val="single" w:sz="8" w:color="E3E3E3"/>
              <w:bottom w:val="single" w:sz="8" w:color="auto"/>
            </w:tcBorders>
          </w:tcPr>
          <w:p>
            <w:pPr>
              <w:spacing w:after="0" w:line="20" w:lineRule="exact"/>
              <w:rPr>
                <w:sz w:val="1"/>
                <w:szCs w:val="1"/>
                <w:color w:val="auto"/>
              </w:rPr>
            </w:pPr>
          </w:p>
        </w:tc>
        <w:tc>
          <w:tcPr>
            <w:tcW w:w="10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bottom w:val="single" w:sz="8" w:color="auto"/>
            </w:tcBorders>
          </w:tcPr>
          <w:p>
            <w:pPr>
              <w:spacing w:after="0" w:line="20" w:lineRule="exact"/>
              <w:rPr>
                <w:sz w:val="1"/>
                <w:szCs w:val="1"/>
                <w:color w:val="auto"/>
              </w:rPr>
            </w:pPr>
          </w:p>
        </w:tc>
        <w:tc>
          <w:tcPr>
            <w:tcW w:w="118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940" w:type="dxa"/>
            <w:vAlign w:val="bottom"/>
            <w:tcBorders>
              <w:top w:val="single" w:sz="8" w:color="E3E3E3"/>
              <w:bottom w:val="single" w:sz="8" w:color="auto"/>
            </w:tcBorders>
          </w:tcPr>
          <w:p>
            <w:pPr>
              <w:spacing w:after="0" w:line="20" w:lineRule="exact"/>
              <w:rPr>
                <w:sz w:val="1"/>
                <w:szCs w:val="1"/>
                <w:color w:val="auto"/>
              </w:rPr>
            </w:pPr>
          </w:p>
        </w:tc>
        <w:tc>
          <w:tcPr>
            <w:tcW w:w="62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354.6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344.7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Arial" w:cs="Arial" w:eastAsia="Arial" w:hAnsi="Arial"/>
                <w:sz w:val="16"/>
                <w:szCs w:val="16"/>
                <w:color w:val="auto"/>
              </w:rPr>
              <w:t>share, 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condensed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INCOME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April 30,</w:t>
            </w:r>
          </w:p>
        </w:tc>
        <w:tc>
          <w:tcPr>
            <w:tcW w:w="560" w:type="dxa"/>
            <w:vAlign w:val="bottom"/>
            <w:tcBorders>
              <w:bottom w:val="single" w:sz="8" w:color="auto"/>
            </w:tcBorders>
          </w:tcPr>
          <w:p>
            <w:pPr>
              <w:spacing w:after="0"/>
              <w:rPr>
                <w:sz w:val="17"/>
                <w:szCs w:val="17"/>
                <w:color w:val="auto"/>
              </w:rPr>
            </w:pPr>
          </w:p>
        </w:tc>
      </w:tr>
      <w:tr>
        <w:trPr>
          <w:trHeight w:val="223"/>
        </w:trPr>
        <w:tc>
          <w:tcPr>
            <w:tcW w:w="4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3E3E3"/>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472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278.8</w:t>
            </w: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2,219.9</w:t>
            </w:r>
          </w:p>
        </w:tc>
        <w:tc>
          <w:tcPr>
            <w:tcW w:w="100" w:type="dxa"/>
            <w:vAlign w:val="bottom"/>
            <w:shd w:val="clear" w:color="auto" w:fill="E3E3E3"/>
          </w:tcPr>
          <w:p>
            <w:pPr>
              <w:spacing w:after="0"/>
              <w:rPr>
                <w:sz w:val="21"/>
                <w:szCs w:val="21"/>
                <w:color w:val="auto"/>
              </w:rPr>
            </w:pPr>
          </w:p>
        </w:tc>
        <w:tc>
          <w:tcPr>
            <w:tcW w:w="1000" w:type="dxa"/>
            <w:vAlign w:val="bottom"/>
            <w:shd w:val="clear" w:color="auto" w:fill="E3E3E3"/>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212.0</w:t>
            </w:r>
          </w:p>
        </w:tc>
      </w:tr>
      <w:tr>
        <w:trPr>
          <w:trHeight w:val="235"/>
        </w:trPr>
        <w:tc>
          <w:tcPr>
            <w:tcW w:w="472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1"/>
        </w:trPr>
        <w:tc>
          <w:tcPr>
            <w:tcW w:w="47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Change in unrealized gains (losses) on investments</w:t>
            </w:r>
          </w:p>
        </w:tc>
        <w:tc>
          <w:tcPr>
            <w:tcW w:w="34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5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5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7.5</w:t>
            </w:r>
          </w:p>
        </w:tc>
      </w:tr>
      <w:tr>
        <w:trPr>
          <w:trHeight w:val="235"/>
        </w:trPr>
        <w:tc>
          <w:tcPr>
            <w:tcW w:w="4720" w:type="dxa"/>
            <w:vAlign w:val="bottom"/>
          </w:tcPr>
          <w:p>
            <w:pPr>
              <w:ind w:left="240"/>
              <w:spacing w:after="0"/>
              <w:rPr>
                <w:sz w:val="20"/>
                <w:szCs w:val="20"/>
                <w:color w:val="auto"/>
              </w:rPr>
            </w:pPr>
            <w:r>
              <w:rPr>
                <w:rFonts w:ascii="Arial" w:cs="Arial" w:eastAsia="Arial" w:hAnsi="Arial"/>
                <w:sz w:val="16"/>
                <w:szCs w:val="16"/>
                <w:color w:val="auto"/>
              </w:rPr>
              <w:t>Cash flow hedges: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1"/>
        </w:trPr>
        <w:tc>
          <w:tcPr>
            <w:tcW w:w="4720" w:type="dxa"/>
            <w:vAlign w:val="bottom"/>
            <w:shd w:val="clear" w:color="auto" w:fill="E3E3E3"/>
          </w:tcPr>
          <w:p>
            <w:pPr>
              <w:ind w:left="460"/>
              <w:spacing w:after="0"/>
              <w:rPr>
                <w:sz w:val="20"/>
                <w:szCs w:val="20"/>
                <w:color w:val="auto"/>
              </w:rPr>
            </w:pPr>
            <w:r>
              <w:rPr>
                <w:rFonts w:ascii="Arial" w:cs="Arial" w:eastAsia="Arial" w:hAnsi="Arial"/>
                <w:sz w:val="16"/>
                <w:szCs w:val="16"/>
                <w:color w:val="auto"/>
              </w:rPr>
              <w:t>Change in unrealized gains (losses)</w:t>
            </w:r>
          </w:p>
        </w:tc>
        <w:tc>
          <w:tcPr>
            <w:tcW w:w="34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5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5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2.9</w:t>
            </w:r>
          </w:p>
        </w:tc>
      </w:tr>
      <w:tr>
        <w:trPr>
          <w:trHeight w:val="236"/>
        </w:trPr>
        <w:tc>
          <w:tcPr>
            <w:tcW w:w="4720" w:type="dxa"/>
            <w:vAlign w:val="bottom"/>
            <w:tcBorders>
              <w:bottom w:val="single" w:sz="8" w:color="E3E3E3"/>
            </w:tcBorders>
          </w:tcPr>
          <w:p>
            <w:pPr>
              <w:ind w:left="460"/>
              <w:spacing w:after="0"/>
              <w:rPr>
                <w:sz w:val="20"/>
                <w:szCs w:val="20"/>
                <w:color w:val="auto"/>
              </w:rPr>
            </w:pPr>
            <w:r>
              <w:rPr>
                <w:rFonts w:ascii="Arial" w:cs="Arial" w:eastAsia="Arial" w:hAnsi="Arial"/>
                <w:sz w:val="16"/>
                <w:szCs w:val="16"/>
                <w:color w:val="auto"/>
              </w:rPr>
              <w:t>Net realized (gains) losses reclassified into earnings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E3E3E3"/>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E3E3E3"/>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37"/>
        </w:trPr>
        <w:tc>
          <w:tcPr>
            <w:tcW w:w="47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Net change on cash flow hedges</w:t>
            </w:r>
          </w:p>
        </w:tc>
        <w:tc>
          <w:tcPr>
            <w:tcW w:w="340" w:type="dxa"/>
            <w:vAlign w:val="bottom"/>
            <w:tcBorders>
              <w:bottom w:val="single" w:sz="8" w:color="auto"/>
            </w:tcBorders>
            <w:shd w:val="clear" w:color="auto" w:fill="E3E3E3"/>
          </w:tcPr>
          <w:p>
            <w:pPr>
              <w:spacing w:after="0"/>
              <w:rPr>
                <w:sz w:val="20"/>
                <w:szCs w:val="20"/>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E3E3E3"/>
          </w:tcPr>
          <w:p>
            <w:pPr>
              <w:spacing w:after="0"/>
              <w:rPr>
                <w:sz w:val="20"/>
                <w:szCs w:val="20"/>
                <w:color w:val="auto"/>
              </w:rPr>
            </w:pPr>
          </w:p>
        </w:tc>
        <w:tc>
          <w:tcPr>
            <w:tcW w:w="1020" w:type="dxa"/>
            <w:vAlign w:val="bottom"/>
            <w:tcBorders>
              <w:bottom w:val="single" w:sz="8" w:color="auto"/>
            </w:tcBorders>
            <w:shd w:val="clear" w:color="auto" w:fill="E3E3E3"/>
          </w:tcPr>
          <w:p>
            <w:pPr>
              <w:spacing w:after="0"/>
              <w:rPr>
                <w:sz w:val="20"/>
                <w:szCs w:val="20"/>
                <w:color w:val="auto"/>
              </w:rPr>
            </w:pPr>
          </w:p>
        </w:tc>
        <w:tc>
          <w:tcPr>
            <w:tcW w:w="5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E3E3E3"/>
          </w:tcPr>
          <w:p>
            <w:pPr>
              <w:spacing w:after="0"/>
              <w:rPr>
                <w:sz w:val="20"/>
                <w:szCs w:val="20"/>
                <w:color w:val="auto"/>
              </w:rPr>
            </w:pPr>
          </w:p>
        </w:tc>
        <w:tc>
          <w:tcPr>
            <w:tcW w:w="380" w:type="dxa"/>
            <w:vAlign w:val="bottom"/>
            <w:tcBorders>
              <w:bottom w:val="single" w:sz="8" w:color="auto"/>
            </w:tcBorders>
            <w:shd w:val="clear" w:color="auto" w:fill="E3E3E3"/>
          </w:tcPr>
          <w:p>
            <w:pPr>
              <w:spacing w:after="0"/>
              <w:rPr>
                <w:sz w:val="20"/>
                <w:szCs w:val="20"/>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E3E3E3"/>
          </w:tcPr>
          <w:p>
            <w:pPr>
              <w:spacing w:after="0"/>
              <w:rPr>
                <w:sz w:val="20"/>
                <w:szCs w:val="20"/>
                <w:color w:val="auto"/>
              </w:rPr>
            </w:pPr>
          </w:p>
        </w:tc>
        <w:tc>
          <w:tcPr>
            <w:tcW w:w="1000" w:type="dxa"/>
            <w:vAlign w:val="bottom"/>
            <w:tcBorders>
              <w:bottom w:val="single" w:sz="8" w:color="auto"/>
            </w:tcBorders>
            <w:shd w:val="clear" w:color="auto" w:fill="E3E3E3"/>
          </w:tcPr>
          <w:p>
            <w:pPr>
              <w:spacing w:after="0"/>
              <w:rPr>
                <w:sz w:val="20"/>
                <w:szCs w:val="20"/>
                <w:color w:val="auto"/>
              </w:rPr>
            </w:pPr>
          </w:p>
        </w:tc>
        <w:tc>
          <w:tcPr>
            <w:tcW w:w="5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27.4</w:t>
            </w:r>
          </w:p>
        </w:tc>
      </w:tr>
      <w:tr>
        <w:trPr>
          <w:trHeight w:val="237"/>
        </w:trPr>
        <w:tc>
          <w:tcPr>
            <w:tcW w:w="472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E3E3E3"/>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E3E3E3"/>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r>
      <w:tr>
        <w:trPr>
          <w:trHeight w:val="268"/>
        </w:trPr>
        <w:tc>
          <w:tcPr>
            <w:tcW w:w="472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Borders>
              <w:bottom w:val="single" w:sz="8" w:color="auto"/>
            </w:tcBorders>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229.9</w:t>
            </w:r>
          </w:p>
        </w:tc>
        <w:tc>
          <w:tcPr>
            <w:tcW w:w="100" w:type="dxa"/>
            <w:vAlign w:val="bottom"/>
            <w:tcBorders>
              <w:bottom w:val="single" w:sz="8" w:color="E3E3E3"/>
            </w:tcBorders>
            <w:shd w:val="clear" w:color="auto" w:fill="E3E3E3"/>
          </w:tcPr>
          <w:p>
            <w:pPr>
              <w:spacing w:after="0"/>
              <w:rPr>
                <w:sz w:val="22"/>
                <w:szCs w:val="22"/>
                <w:color w:val="auto"/>
              </w:rPr>
            </w:pPr>
          </w:p>
        </w:tc>
        <w:tc>
          <w:tcPr>
            <w:tcW w:w="1020" w:type="dxa"/>
            <w:vAlign w:val="bottom"/>
            <w:tcBorders>
              <w:bottom w:val="single" w:sz="8" w:color="auto"/>
            </w:tcBorders>
            <w:shd w:val="clear" w:color="auto" w:fill="E3E3E3"/>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2,207.7</w:t>
            </w:r>
          </w:p>
        </w:tc>
        <w:tc>
          <w:tcPr>
            <w:tcW w:w="100" w:type="dxa"/>
            <w:vAlign w:val="bottom"/>
            <w:tcBorders>
              <w:bottom w:val="single" w:sz="8" w:color="E3E3E3"/>
            </w:tcBorders>
            <w:shd w:val="clear" w:color="auto" w:fill="E3E3E3"/>
          </w:tcPr>
          <w:p>
            <w:pPr>
              <w:spacing w:after="0"/>
              <w:rPr>
                <w:sz w:val="22"/>
                <w:szCs w:val="22"/>
                <w:color w:val="auto"/>
              </w:rPr>
            </w:pPr>
          </w:p>
        </w:tc>
        <w:tc>
          <w:tcPr>
            <w:tcW w:w="1000" w:type="dxa"/>
            <w:vAlign w:val="bottom"/>
            <w:tcBorders>
              <w:bottom w:val="single" w:sz="8" w:color="auto"/>
            </w:tcBorders>
            <w:shd w:val="clear" w:color="auto" w:fill="E3E3E3"/>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246.9</w:t>
            </w:r>
          </w:p>
        </w:tc>
      </w:tr>
      <w:tr>
        <w:trPr>
          <w:trHeight w:val="20"/>
        </w:trPr>
        <w:tc>
          <w:tcPr>
            <w:tcW w:w="4720" w:type="dxa"/>
            <w:vAlign w:val="bottom"/>
            <w:tcBorders>
              <w:top w:val="single" w:sz="8" w:color="E3E3E3"/>
            </w:tcBorders>
          </w:tcPr>
          <w:p>
            <w:pPr>
              <w:spacing w:after="0" w:line="20" w:lineRule="exact"/>
              <w:rPr>
                <w:sz w:val="1"/>
                <w:szCs w:val="1"/>
                <w:color w:val="auto"/>
              </w:rPr>
            </w:pPr>
          </w:p>
        </w:tc>
        <w:tc>
          <w:tcPr>
            <w:tcW w:w="340" w:type="dxa"/>
            <w:vAlign w:val="bottom"/>
            <w:tcBorders>
              <w:top w:val="single" w:sz="8" w:color="E3E3E3"/>
              <w:bottom w:val="single" w:sz="8" w:color="auto"/>
            </w:tcBorders>
          </w:tcPr>
          <w:p>
            <w:pPr>
              <w:spacing w:after="0" w:line="20" w:lineRule="exact"/>
              <w:rPr>
                <w:sz w:val="1"/>
                <w:szCs w:val="1"/>
                <w:color w:val="auto"/>
              </w:rPr>
            </w:pPr>
          </w:p>
        </w:tc>
        <w:tc>
          <w:tcPr>
            <w:tcW w:w="120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020" w:type="dxa"/>
            <w:vAlign w:val="bottom"/>
            <w:tcBorders>
              <w:top w:val="single" w:sz="8" w:color="E3E3E3"/>
              <w:bottom w:val="single" w:sz="8" w:color="auto"/>
            </w:tcBorders>
          </w:tcPr>
          <w:p>
            <w:pPr>
              <w:spacing w:after="0" w:line="20" w:lineRule="exact"/>
              <w:rPr>
                <w:sz w:val="1"/>
                <w:szCs w:val="1"/>
                <w:color w:val="auto"/>
              </w:rPr>
            </w:pPr>
          </w:p>
        </w:tc>
        <w:tc>
          <w:tcPr>
            <w:tcW w:w="54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bottom w:val="single" w:sz="8" w:color="auto"/>
            </w:tcBorders>
          </w:tcPr>
          <w:p>
            <w:pPr>
              <w:spacing w:after="0" w:line="20" w:lineRule="exact"/>
              <w:rPr>
                <w:sz w:val="1"/>
                <w:szCs w:val="1"/>
                <w:color w:val="auto"/>
              </w:rPr>
            </w:pPr>
          </w:p>
        </w:tc>
        <w:tc>
          <w:tcPr>
            <w:tcW w:w="118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000" w:type="dxa"/>
            <w:vAlign w:val="bottom"/>
            <w:tcBorders>
              <w:top w:val="single" w:sz="8" w:color="E3E3E3"/>
              <w:bottom w:val="single" w:sz="8" w:color="auto"/>
            </w:tcBorders>
          </w:tcPr>
          <w:p>
            <w:pPr>
              <w:spacing w:after="0" w:line="20" w:lineRule="exact"/>
              <w:rPr>
                <w:sz w:val="1"/>
                <w:szCs w:val="1"/>
                <w:color w:val="auto"/>
              </w:rPr>
            </w:pPr>
          </w:p>
        </w:tc>
        <w:tc>
          <w:tcPr>
            <w:tcW w:w="560" w:type="dxa"/>
            <w:vAlign w:val="bottom"/>
            <w:tcBorders>
              <w:top w:val="single" w:sz="8" w:color="E3E3E3"/>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condensed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April 30, 2024</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Common Stock and Additional</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45"/>
        </w:trPr>
        <w:tc>
          <w:tcPr>
            <w:tcW w:w="4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tcPr>
          <w:p>
            <w:pPr>
              <w:ind w:left="6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620" w:type="dxa"/>
            <w:vAlign w:val="bottom"/>
            <w:gridSpan w:val="4"/>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Retained Earnings</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4160" w:type="dxa"/>
            <w:vAlign w:val="bottom"/>
            <w:tcBorders>
              <w:top w:val="single" w:sz="8" w:color="auto"/>
            </w:tcBorders>
            <w:gridSpan w:val="2"/>
            <w:shd w:val="clear" w:color="auto" w:fill="E3E3E3"/>
          </w:tcPr>
          <w:p>
            <w:pPr>
              <w:ind w:left="20"/>
              <w:spacing w:after="0"/>
              <w:rPr>
                <w:sz w:val="20"/>
                <w:szCs w:val="20"/>
                <w:color w:val="auto"/>
              </w:rPr>
            </w:pPr>
            <w:r>
              <w:rPr>
                <w:rFonts w:ascii="Arial" w:cs="Arial" w:eastAsia="Arial" w:hAnsi="Arial"/>
                <w:sz w:val="16"/>
                <w:szCs w:val="16"/>
                <w:color w:val="auto"/>
              </w:rPr>
              <w:t>Balance as of January 31, 2024</w:t>
            </w:r>
          </w:p>
        </w:tc>
        <w:tc>
          <w:tcPr>
            <w:tcW w:w="11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322.7</w:t>
            </w:r>
          </w:p>
        </w:tc>
        <w:tc>
          <w:tcPr>
            <w:tcW w:w="10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c>
          <w:tcPr>
            <w:tcW w:w="100" w:type="dxa"/>
            <w:vAlign w:val="bottom"/>
            <w:tcBorders>
              <w:top w:val="single" w:sz="8" w:color="auto"/>
            </w:tcBorders>
            <w:shd w:val="clear" w:color="auto" w:fill="E3E3E3"/>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3,650.0</w:t>
            </w:r>
          </w:p>
        </w:tc>
        <w:tc>
          <w:tcPr>
            <w:tcW w:w="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E3E3E3"/>
            </w:tcBorders>
            <w:shd w:val="clear" w:color="auto" w:fill="E3E3E3"/>
          </w:tcPr>
          <w:p>
            <w:pPr>
              <w:spacing w:after="0"/>
              <w:rPr>
                <w:sz w:val="21"/>
                <w:szCs w:val="21"/>
                <w:color w:val="auto"/>
              </w:rPr>
            </w:pPr>
          </w:p>
        </w:tc>
        <w:tc>
          <w:tcPr>
            <w:tcW w:w="700" w:type="dxa"/>
            <w:vAlign w:val="bottom"/>
            <w:tcBorders>
              <w:top w:val="single" w:sz="8" w:color="auto"/>
            </w:tcBorders>
            <w:shd w:val="clear" w:color="auto" w:fill="E3E3E3"/>
          </w:tcPr>
          <w:p>
            <w:pPr>
              <w:jc w:val="right"/>
              <w:ind w:right="52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713.7</w:t>
            </w:r>
          </w:p>
        </w:tc>
        <w:tc>
          <w:tcPr>
            <w:tcW w:w="120" w:type="dxa"/>
            <w:vAlign w:val="bottom"/>
            <w:tcBorders>
              <w:top w:val="single" w:sz="8" w:color="E3E3E3"/>
            </w:tcBorders>
            <w:shd w:val="clear" w:color="auto" w:fill="E3E3E3"/>
          </w:tcPr>
          <w:p>
            <w:pPr>
              <w:spacing w:after="0"/>
              <w:rPr>
                <w:sz w:val="21"/>
                <w:szCs w:val="21"/>
                <w:color w:val="auto"/>
              </w:rPr>
            </w:pPr>
          </w:p>
        </w:tc>
        <w:tc>
          <w:tcPr>
            <w:tcW w:w="460" w:type="dxa"/>
            <w:vAlign w:val="bottom"/>
            <w:tcBorders>
              <w:top w:val="single" w:sz="8" w:color="auto"/>
            </w:tcBorders>
            <w:shd w:val="clear" w:color="auto" w:fill="E3E3E3"/>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4,357.2</w:t>
            </w:r>
          </w:p>
        </w:tc>
        <w:tc>
          <w:tcPr>
            <w:tcW w:w="0" w:type="dxa"/>
            <w:vAlign w:val="bottom"/>
          </w:tcPr>
          <w:p>
            <w:pPr>
              <w:spacing w:after="0"/>
              <w:rPr>
                <w:sz w:val="1"/>
                <w:szCs w:val="1"/>
                <w:color w:val="auto"/>
              </w:rPr>
            </w:pPr>
          </w:p>
        </w:tc>
      </w:tr>
      <w:tr>
        <w:trPr>
          <w:trHeight w:val="235"/>
        </w:trPr>
        <w:tc>
          <w:tcPr>
            <w:tcW w:w="4160" w:type="dxa"/>
            <w:vAlign w:val="bottom"/>
            <w:gridSpan w:val="2"/>
          </w:tcPr>
          <w:p>
            <w:pPr>
              <w:ind w:left="240"/>
              <w:spacing w:after="0"/>
              <w:rPr>
                <w:sz w:val="20"/>
                <w:szCs w:val="20"/>
                <w:color w:val="auto"/>
              </w:rPr>
            </w:pPr>
            <w:r>
              <w:rPr>
                <w:rFonts w:ascii="Arial" w:cs="Arial" w:eastAsia="Arial" w:hAnsi="Arial"/>
                <w:sz w:val="16"/>
                <w:szCs w:val="16"/>
                <w:color w:val="auto"/>
              </w:rPr>
              <w:t>Net income</w:t>
            </w:r>
          </w:p>
        </w:tc>
        <w:tc>
          <w:tcPr>
            <w:tcW w:w="12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3"/>
          </w:tcPr>
          <w:p>
            <w:pPr>
              <w:ind w:left="1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278.8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51"/>
        </w:trPr>
        <w:tc>
          <w:tcPr>
            <w:tcW w:w="4160" w:type="dxa"/>
            <w:vAlign w:val="bottom"/>
            <w:gridSpan w:val="2"/>
            <w:shd w:val="clear" w:color="auto" w:fill="E3E3E3"/>
          </w:tcPr>
          <w:p>
            <w:pPr>
              <w:ind w:left="240"/>
              <w:spacing w:after="0"/>
              <w:rPr>
                <w:sz w:val="20"/>
                <w:szCs w:val="20"/>
                <w:color w:val="auto"/>
              </w:rPr>
            </w:pPr>
            <w:r>
              <w:rPr>
                <w:rFonts w:ascii="Arial" w:cs="Arial" w:eastAsia="Arial" w:hAnsi="Arial"/>
                <w:sz w:val="16"/>
                <w:szCs w:val="16"/>
                <w:color w:val="auto"/>
              </w:rPr>
              <w:t>Other comprehensive loss</w:t>
            </w:r>
          </w:p>
        </w:tc>
        <w:tc>
          <w:tcPr>
            <w:tcW w:w="1240" w:type="dxa"/>
            <w:vAlign w:val="bottom"/>
            <w:gridSpan w:val="3"/>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1140" w:type="dxa"/>
            <w:vAlign w:val="bottom"/>
            <w:gridSpan w:val="3"/>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3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8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5"/>
        </w:trPr>
        <w:tc>
          <w:tcPr>
            <w:tcW w:w="4160" w:type="dxa"/>
            <w:vAlign w:val="bottom"/>
            <w:gridSpan w:val="2"/>
          </w:tcPr>
          <w:p>
            <w:pPr>
              <w:ind w:left="240"/>
              <w:spacing w:after="0"/>
              <w:rPr>
                <w:sz w:val="20"/>
                <w:szCs w:val="20"/>
                <w:color w:val="auto"/>
              </w:rPr>
            </w:pPr>
            <w:r>
              <w:rPr>
                <w:rFonts w:ascii="Arial" w:cs="Arial" w:eastAsia="Arial" w:hAnsi="Arial"/>
                <w:sz w:val="16"/>
                <w:szCs w:val="16"/>
                <w:color w:val="auto"/>
              </w:rPr>
              <w:t>Issuance of common stock in connection with</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gridSpan w:val="2"/>
          </w:tcPr>
          <w:p>
            <w:pPr>
              <w:ind w:left="240"/>
              <w:spacing w:after="0"/>
              <w:rPr>
                <w:sz w:val="20"/>
                <w:szCs w:val="20"/>
                <w:color w:val="auto"/>
              </w:rPr>
            </w:pPr>
            <w:r>
              <w:rPr>
                <w:rFonts w:ascii="Arial" w:cs="Arial" w:eastAsia="Arial" w:hAnsi="Arial"/>
                <w:sz w:val="16"/>
                <w:szCs w:val="16"/>
                <w:color w:val="auto"/>
              </w:rPr>
              <w:t>employee equity incentive plans</w:t>
            </w: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ind w:left="1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E3E3E3"/>
          </w:tcPr>
          <w:p>
            <w:pPr>
              <w:ind w:left="240"/>
              <w:spacing w:after="0"/>
              <w:rPr>
                <w:sz w:val="20"/>
                <w:szCs w:val="20"/>
                <w:color w:val="auto"/>
              </w:rPr>
            </w:pPr>
            <w:r>
              <w:rPr>
                <w:rFonts w:ascii="Arial" w:cs="Arial" w:eastAsia="Arial" w:hAnsi="Arial"/>
                <w:sz w:val="16"/>
                <w:szCs w:val="16"/>
                <w:color w:val="auto"/>
              </w:rPr>
              <w:t>Taxes paid related to net share settlement of equity</w:t>
            </w:r>
          </w:p>
        </w:tc>
        <w:tc>
          <w:tcPr>
            <w:tcW w:w="11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13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7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9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E3E3E3"/>
          </w:tcPr>
          <w:p>
            <w:pPr>
              <w:ind w:left="240"/>
              <w:spacing w:after="0"/>
              <w:rPr>
                <w:sz w:val="20"/>
                <w:szCs w:val="20"/>
                <w:color w:val="auto"/>
              </w:rPr>
            </w:pPr>
            <w:r>
              <w:rPr>
                <w:rFonts w:ascii="Arial" w:cs="Arial" w:eastAsia="Arial" w:hAnsi="Arial"/>
                <w:sz w:val="16"/>
                <w:szCs w:val="16"/>
                <w:color w:val="auto"/>
              </w:rPr>
              <w:t>awards</w:t>
            </w:r>
          </w:p>
        </w:tc>
        <w:tc>
          <w:tcPr>
            <w:tcW w:w="1240" w:type="dxa"/>
            <w:vAlign w:val="bottom"/>
            <w:gridSpan w:val="3"/>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0"/>
                <w:szCs w:val="20"/>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w:t>
            </w: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480" w:type="dxa"/>
            <w:vAlign w:val="bottom"/>
            <w:gridSpan w:val="3"/>
            <w:shd w:val="clear" w:color="auto" w:fill="E3E3E3"/>
          </w:tcPr>
          <w:p>
            <w:pPr>
              <w:ind w:left="1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E3E3E3"/>
          </w:tcPr>
          <w:p>
            <w:pPr>
              <w:spacing w:after="0"/>
              <w:rPr>
                <w:sz w:val="20"/>
                <w:szCs w:val="20"/>
                <w:color w:val="auto"/>
              </w:rPr>
            </w:pPr>
          </w:p>
        </w:tc>
        <w:tc>
          <w:tcPr>
            <w:tcW w:w="8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0"/>
                <w:szCs w:val="20"/>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5"/>
        </w:trPr>
        <w:tc>
          <w:tcPr>
            <w:tcW w:w="4160" w:type="dxa"/>
            <w:vAlign w:val="bottom"/>
            <w:gridSpan w:val="2"/>
          </w:tcPr>
          <w:p>
            <w:pPr>
              <w:ind w:left="240"/>
              <w:spacing w:after="0"/>
              <w:rPr>
                <w:sz w:val="20"/>
                <w:szCs w:val="20"/>
                <w:color w:val="auto"/>
              </w:rPr>
            </w:pPr>
            <w:r>
              <w:rPr>
                <w:rFonts w:ascii="Arial" w:cs="Arial" w:eastAsia="Arial" w:hAnsi="Arial"/>
                <w:sz w:val="16"/>
                <w:szCs w:val="16"/>
                <w:color w:val="auto"/>
              </w:rPr>
              <w:t>Share-based compensation for equity-based awards</w:t>
            </w:r>
          </w:p>
        </w:tc>
        <w:tc>
          <w:tcPr>
            <w:tcW w:w="12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ind w:left="1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51"/>
        </w:trPr>
        <w:tc>
          <w:tcPr>
            <w:tcW w:w="4160" w:type="dxa"/>
            <w:vAlign w:val="bottom"/>
            <w:gridSpan w:val="2"/>
            <w:shd w:val="clear" w:color="auto" w:fill="E3E3E3"/>
          </w:tcPr>
          <w:p>
            <w:pPr>
              <w:ind w:left="240"/>
              <w:spacing w:after="0"/>
              <w:rPr>
                <w:sz w:val="20"/>
                <w:szCs w:val="20"/>
                <w:color w:val="auto"/>
              </w:rPr>
            </w:pPr>
            <w:r>
              <w:rPr>
                <w:rFonts w:ascii="Arial" w:cs="Arial" w:eastAsia="Arial" w:hAnsi="Arial"/>
                <w:sz w:val="16"/>
                <w:szCs w:val="16"/>
                <w:color w:val="auto"/>
              </w:rPr>
              <w:t>Repurchase and retirement of common stock</w:t>
            </w:r>
          </w:p>
        </w:tc>
        <w:tc>
          <w:tcPr>
            <w:tcW w:w="11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(500.0)</w:t>
            </w: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480" w:type="dxa"/>
            <w:vAlign w:val="bottom"/>
            <w:gridSpan w:val="3"/>
            <w:shd w:val="clear" w:color="auto" w:fill="E3E3E3"/>
          </w:tcPr>
          <w:p>
            <w:pPr>
              <w:ind w:left="1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E3E3E3"/>
          </w:tcPr>
          <w:p>
            <w:pPr>
              <w:spacing w:after="0"/>
              <w:rPr>
                <w:sz w:val="21"/>
                <w:szCs w:val="21"/>
                <w:color w:val="auto"/>
              </w:rPr>
            </w:pPr>
          </w:p>
        </w:tc>
        <w:tc>
          <w:tcPr>
            <w:tcW w:w="8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35"/>
        </w:trPr>
        <w:tc>
          <w:tcPr>
            <w:tcW w:w="4160" w:type="dxa"/>
            <w:vAlign w:val="bottom"/>
            <w:gridSpan w:val="2"/>
          </w:tcPr>
          <w:p>
            <w:pPr>
              <w:ind w:left="240"/>
              <w:spacing w:after="0"/>
              <w:rPr>
                <w:sz w:val="20"/>
                <w:szCs w:val="20"/>
                <w:color w:val="auto"/>
              </w:rPr>
            </w:pPr>
            <w:r>
              <w:rPr>
                <w:rFonts w:ascii="Arial" w:cs="Arial" w:eastAsia="Arial" w:hAnsi="Arial"/>
                <w:sz w:val="16"/>
                <w:szCs w:val="16"/>
                <w:color w:val="auto"/>
              </w:rPr>
              <w:t>Settlement of convertible notes</w:t>
            </w:r>
          </w:p>
        </w:tc>
        <w:tc>
          <w:tcPr>
            <w:tcW w:w="11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ind w:left="114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4160" w:type="dxa"/>
            <w:vAlign w:val="bottom"/>
            <w:gridSpan w:val="2"/>
            <w:shd w:val="clear" w:color="auto" w:fill="E3E3E3"/>
          </w:tcPr>
          <w:p>
            <w:pPr>
              <w:ind w:left="240"/>
              <w:spacing w:after="0"/>
              <w:rPr>
                <w:sz w:val="20"/>
                <w:szCs w:val="20"/>
                <w:color w:val="auto"/>
              </w:rPr>
            </w:pPr>
            <w:r>
              <w:rPr>
                <w:rFonts w:ascii="Arial" w:cs="Arial" w:eastAsia="Arial" w:hAnsi="Arial"/>
                <w:sz w:val="16"/>
                <w:szCs w:val="16"/>
                <w:color w:val="auto"/>
              </w:rPr>
              <w:t>Settlement of note hedges</w:t>
            </w:r>
          </w:p>
        </w:tc>
        <w:tc>
          <w:tcPr>
            <w:tcW w:w="11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140" w:type="dxa"/>
            <w:vAlign w:val="bottom"/>
            <w:gridSpan w:val="3"/>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80" w:type="dxa"/>
            <w:vAlign w:val="bottom"/>
            <w:gridSpan w:val="3"/>
            <w:shd w:val="clear" w:color="auto" w:fill="E3E3E3"/>
          </w:tcPr>
          <w:p>
            <w:pPr>
              <w:ind w:left="1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E3E3E3"/>
          </w:tcPr>
          <w:p>
            <w:pPr>
              <w:spacing w:after="0"/>
              <w:rPr>
                <w:sz w:val="21"/>
                <w:szCs w:val="21"/>
                <w:color w:val="auto"/>
              </w:rPr>
            </w:pPr>
          </w:p>
        </w:tc>
        <w:tc>
          <w:tcPr>
            <w:tcW w:w="8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Balance as of April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3,530.7</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992.5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4,467.8</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0"/>
        </w:trPr>
        <w:tc>
          <w:tcPr>
            <w:tcW w:w="4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right"/>
              <w:ind w:right="2"/>
              <w:spacing w:after="0"/>
              <w:rPr>
                <w:sz w:val="20"/>
                <w:szCs w:val="20"/>
                <w:color w:val="auto"/>
              </w:rPr>
            </w:pPr>
            <w:r>
              <w:rPr>
                <w:rFonts w:ascii="Arial" w:cs="Arial" w:eastAsia="Arial" w:hAnsi="Arial"/>
                <w:sz w:val="14"/>
                <w:szCs w:val="14"/>
                <w:b w:val="1"/>
                <w:bCs w:val="1"/>
                <w:color w:val="auto"/>
              </w:rPr>
              <w:t>Three Months Ended April 30, 2023</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gridSpan w:val="7"/>
          </w:tcPr>
          <w:p>
            <w:pPr>
              <w:jc w:val="center"/>
              <w:ind w:left="61"/>
              <w:spacing w:after="0"/>
              <w:rPr>
                <w:sz w:val="20"/>
                <w:szCs w:val="20"/>
                <w:color w:val="auto"/>
              </w:rPr>
            </w:pPr>
            <w:r>
              <w:rPr>
                <w:rFonts w:ascii="Arial" w:cs="Arial" w:eastAsia="Arial" w:hAnsi="Arial"/>
                <w:sz w:val="14"/>
                <w:szCs w:val="14"/>
                <w:b w:val="1"/>
                <w:bCs w:val="1"/>
                <w:color w:val="auto"/>
              </w:rPr>
              <w:t>Common Stock and Additional</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7"/>
                <w:szCs w:val="17"/>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45"/>
        </w:trPr>
        <w:tc>
          <w:tcPr>
            <w:tcW w:w="414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tcPr>
          <w:p>
            <w:pPr>
              <w:ind w:left="6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Accumulated Deficit</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4160" w:type="dxa"/>
            <w:vAlign w:val="bottom"/>
            <w:tcBorders>
              <w:top w:val="single" w:sz="8" w:color="auto"/>
            </w:tcBorders>
            <w:gridSpan w:val="2"/>
            <w:shd w:val="clear" w:color="auto" w:fill="E3E3E3"/>
          </w:tcPr>
          <w:p>
            <w:pPr>
              <w:ind w:left="20"/>
              <w:spacing w:after="0"/>
              <w:rPr>
                <w:sz w:val="20"/>
                <w:szCs w:val="20"/>
                <w:color w:val="auto"/>
              </w:rPr>
            </w:pPr>
            <w:r>
              <w:rPr>
                <w:rFonts w:ascii="Arial" w:cs="Arial" w:eastAsia="Arial" w:hAnsi="Arial"/>
                <w:sz w:val="16"/>
                <w:szCs w:val="16"/>
                <w:color w:val="auto"/>
              </w:rPr>
              <w:t>Balance as of January 31, 2023</w:t>
            </w:r>
          </w:p>
        </w:tc>
        <w:tc>
          <w:tcPr>
            <w:tcW w:w="112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302.4</w:t>
            </w:r>
          </w:p>
        </w:tc>
        <w:tc>
          <w:tcPr>
            <w:tcW w:w="10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auto"/>
            </w:tcBorders>
            <w:shd w:val="clear" w:color="auto" w:fill="E3E3E3"/>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2,303.0</w:t>
            </w:r>
          </w:p>
        </w:tc>
        <w:tc>
          <w:tcPr>
            <w:tcW w:w="20" w:type="dxa"/>
            <w:vAlign w:val="bottom"/>
            <w:tcBorders>
              <w:top w:val="single" w:sz="8" w:color="E3E3E3"/>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E3E3E3"/>
            </w:tcBorders>
            <w:shd w:val="clear" w:color="auto" w:fill="E3E3E3"/>
          </w:tcPr>
          <w:p>
            <w:pPr>
              <w:spacing w:after="0"/>
              <w:rPr>
                <w:sz w:val="21"/>
                <w:szCs w:val="21"/>
                <w:color w:val="auto"/>
              </w:rPr>
            </w:pPr>
          </w:p>
        </w:tc>
        <w:tc>
          <w:tcPr>
            <w:tcW w:w="20" w:type="dxa"/>
            <w:vAlign w:val="bottom"/>
            <w:tcBorders>
              <w:top w:val="single" w:sz="8" w:color="auto"/>
            </w:tcBorders>
            <w:shd w:val="clear" w:color="auto" w:fill="E3E3E3"/>
          </w:tcPr>
          <w:p>
            <w:pPr>
              <w:spacing w:after="0"/>
              <w:rPr>
                <w:sz w:val="21"/>
                <w:szCs w:val="21"/>
                <w:color w:val="auto"/>
              </w:rPr>
            </w:pPr>
          </w:p>
        </w:tc>
        <w:tc>
          <w:tcPr>
            <w:tcW w:w="700" w:type="dxa"/>
            <w:vAlign w:val="bottom"/>
            <w:tcBorders>
              <w:top w:val="single" w:sz="8" w:color="auto"/>
            </w:tcBorders>
            <w:shd w:val="clear" w:color="auto" w:fill="E3E3E3"/>
          </w:tcPr>
          <w:p>
            <w:pPr>
              <w:jc w:val="right"/>
              <w:ind w:right="52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(1,562.9)</w:t>
            </w:r>
          </w:p>
        </w:tc>
        <w:tc>
          <w:tcPr>
            <w:tcW w:w="120" w:type="dxa"/>
            <w:vAlign w:val="bottom"/>
            <w:tcBorders>
              <w:top w:val="single" w:sz="8" w:color="E3E3E3"/>
            </w:tcBorders>
            <w:shd w:val="clear" w:color="auto" w:fill="E3E3E3"/>
          </w:tcPr>
          <w:p>
            <w:pPr>
              <w:spacing w:after="0"/>
              <w:rPr>
                <w:sz w:val="21"/>
                <w:szCs w:val="21"/>
                <w:color w:val="auto"/>
              </w:rPr>
            </w:pPr>
          </w:p>
        </w:tc>
        <w:tc>
          <w:tcPr>
            <w:tcW w:w="460" w:type="dxa"/>
            <w:vAlign w:val="bottom"/>
            <w:tcBorders>
              <w:top w:val="single" w:sz="8" w:color="auto"/>
            </w:tcBorders>
            <w:shd w:val="clear" w:color="auto" w:fill="E3E3E3"/>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729.0</w:t>
            </w:r>
          </w:p>
        </w:tc>
        <w:tc>
          <w:tcPr>
            <w:tcW w:w="0" w:type="dxa"/>
            <w:vAlign w:val="bottom"/>
          </w:tcPr>
          <w:p>
            <w:pPr>
              <w:spacing w:after="0"/>
              <w:rPr>
                <w:sz w:val="1"/>
                <w:szCs w:val="1"/>
                <w:color w:val="auto"/>
              </w:rPr>
            </w:pPr>
          </w:p>
        </w:tc>
      </w:tr>
      <w:tr>
        <w:trPr>
          <w:trHeight w:val="235"/>
        </w:trPr>
        <w:tc>
          <w:tcPr>
            <w:tcW w:w="4160" w:type="dxa"/>
            <w:vAlign w:val="bottom"/>
            <w:gridSpan w:val="2"/>
          </w:tcPr>
          <w:p>
            <w:pPr>
              <w:ind w:left="240"/>
              <w:spacing w:after="0"/>
              <w:rPr>
                <w:sz w:val="20"/>
                <w:szCs w:val="20"/>
                <w:color w:val="auto"/>
              </w:rPr>
            </w:pPr>
            <w:r>
              <w:rPr>
                <w:rFonts w:ascii="Arial" w:cs="Arial" w:eastAsia="Arial" w:hAnsi="Arial"/>
                <w:sz w:val="16"/>
                <w:szCs w:val="16"/>
                <w:color w:val="auto"/>
              </w:rPr>
              <w:t>Net income</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51"/>
        </w:trPr>
        <w:tc>
          <w:tcPr>
            <w:tcW w:w="4160" w:type="dxa"/>
            <w:vAlign w:val="bottom"/>
            <w:gridSpan w:val="2"/>
            <w:shd w:val="clear" w:color="auto" w:fill="E3E3E3"/>
          </w:tcPr>
          <w:p>
            <w:pPr>
              <w:ind w:left="240"/>
              <w:spacing w:after="0"/>
              <w:rPr>
                <w:sz w:val="20"/>
                <w:szCs w:val="20"/>
                <w:color w:val="auto"/>
              </w:rPr>
            </w:pPr>
            <w:r>
              <w:rPr>
                <w:rFonts w:ascii="Arial" w:cs="Arial" w:eastAsia="Arial" w:hAnsi="Arial"/>
                <w:sz w:val="16"/>
                <w:szCs w:val="16"/>
                <w:color w:val="auto"/>
              </w:rPr>
              <w:t>Other comprehensive loss</w:t>
            </w:r>
          </w:p>
        </w:tc>
        <w:tc>
          <w:tcPr>
            <w:tcW w:w="1240" w:type="dxa"/>
            <w:vAlign w:val="bottom"/>
            <w:gridSpan w:val="3"/>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1140" w:type="dxa"/>
            <w:vAlign w:val="bottom"/>
            <w:gridSpan w:val="3"/>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3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8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2"/>
        </w:trPr>
        <w:tc>
          <w:tcPr>
            <w:tcW w:w="4160" w:type="dxa"/>
            <w:vAlign w:val="bottom"/>
            <w:gridSpan w:val="2"/>
          </w:tcPr>
          <w:p>
            <w:pPr>
              <w:ind w:left="240"/>
              <w:spacing w:after="0"/>
              <w:rPr>
                <w:sz w:val="20"/>
                <w:szCs w:val="20"/>
                <w:color w:val="auto"/>
              </w:rPr>
            </w:pPr>
            <w:r>
              <w:rPr>
                <w:rFonts w:ascii="Arial" w:cs="Arial" w:eastAsia="Arial" w:hAnsi="Arial"/>
                <w:sz w:val="16"/>
                <w:szCs w:val="16"/>
                <w:color w:val="auto"/>
              </w:rPr>
              <w:t>Issuance of common stock in connection with</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60" w:type="dxa"/>
            <w:vAlign w:val="bottom"/>
            <w:gridSpan w:val="2"/>
          </w:tcPr>
          <w:p>
            <w:pPr>
              <w:ind w:left="240"/>
              <w:spacing w:after="0"/>
              <w:rPr>
                <w:sz w:val="20"/>
                <w:szCs w:val="20"/>
                <w:color w:val="auto"/>
              </w:rPr>
            </w:pPr>
            <w:r>
              <w:rPr>
                <w:rFonts w:ascii="Arial" w:cs="Arial" w:eastAsia="Arial" w:hAnsi="Arial"/>
                <w:sz w:val="16"/>
                <w:szCs w:val="16"/>
                <w:color w:val="auto"/>
              </w:rPr>
              <w:t>employee equity incentive plans</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E3E3E3"/>
          </w:tcPr>
          <w:p>
            <w:pPr>
              <w:ind w:left="240"/>
              <w:spacing w:after="0"/>
              <w:rPr>
                <w:sz w:val="20"/>
                <w:szCs w:val="20"/>
                <w:color w:val="auto"/>
              </w:rPr>
            </w:pPr>
            <w:r>
              <w:rPr>
                <w:rFonts w:ascii="Arial" w:cs="Arial" w:eastAsia="Arial" w:hAnsi="Arial"/>
                <w:sz w:val="16"/>
                <w:szCs w:val="16"/>
                <w:color w:val="auto"/>
              </w:rPr>
              <w:t>Taxes paid related to net share settlement of equity</w:t>
            </w:r>
          </w:p>
        </w:tc>
        <w:tc>
          <w:tcPr>
            <w:tcW w:w="11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13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700" w:type="dxa"/>
            <w:vAlign w:val="bottom"/>
            <w:shd w:val="clear" w:color="auto" w:fill="E3E3E3"/>
          </w:tcPr>
          <w:p>
            <w:pPr>
              <w:spacing w:after="0"/>
              <w:rPr>
                <w:sz w:val="18"/>
                <w:szCs w:val="18"/>
                <w:color w:val="auto"/>
              </w:rPr>
            </w:pPr>
          </w:p>
        </w:tc>
        <w:tc>
          <w:tcPr>
            <w:tcW w:w="7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60" w:type="dxa"/>
            <w:vAlign w:val="bottom"/>
            <w:gridSpan w:val="2"/>
            <w:shd w:val="clear" w:color="auto" w:fill="E3E3E3"/>
          </w:tcPr>
          <w:p>
            <w:pPr>
              <w:ind w:left="240"/>
              <w:spacing w:after="0"/>
              <w:rPr>
                <w:sz w:val="20"/>
                <w:szCs w:val="20"/>
                <w:color w:val="auto"/>
              </w:rPr>
            </w:pPr>
            <w:r>
              <w:rPr>
                <w:rFonts w:ascii="Arial" w:cs="Arial" w:eastAsia="Arial" w:hAnsi="Arial"/>
                <w:sz w:val="16"/>
                <w:szCs w:val="16"/>
                <w:color w:val="auto"/>
              </w:rPr>
              <w:t>awards</w:t>
            </w:r>
          </w:p>
        </w:tc>
        <w:tc>
          <w:tcPr>
            <w:tcW w:w="1240" w:type="dxa"/>
            <w:vAlign w:val="bottom"/>
            <w:gridSpan w:val="3"/>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480" w:type="dxa"/>
            <w:vAlign w:val="bottom"/>
            <w:gridSpan w:val="3"/>
            <w:shd w:val="clear" w:color="auto" w:fill="E3E3E3"/>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E3E3E3"/>
          </w:tcPr>
          <w:p>
            <w:pPr>
              <w:spacing w:after="0"/>
              <w:rPr>
                <w:sz w:val="21"/>
                <w:szCs w:val="21"/>
                <w:color w:val="auto"/>
              </w:rPr>
            </w:pPr>
          </w:p>
        </w:tc>
        <w:tc>
          <w:tcPr>
            <w:tcW w:w="8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160" w:type="dxa"/>
            <w:vAlign w:val="bottom"/>
            <w:gridSpan w:val="2"/>
          </w:tcPr>
          <w:p>
            <w:pPr>
              <w:ind w:left="240"/>
              <w:spacing w:after="0"/>
              <w:rPr>
                <w:sz w:val="20"/>
                <w:szCs w:val="20"/>
                <w:color w:val="auto"/>
              </w:rPr>
            </w:pPr>
            <w:r>
              <w:rPr>
                <w:rFonts w:ascii="Arial" w:cs="Arial" w:eastAsia="Arial" w:hAnsi="Arial"/>
                <w:sz w:val="16"/>
                <w:szCs w:val="16"/>
                <w:color w:val="auto"/>
              </w:rPr>
              <w:t>Share-based compensation for equity-based awards</w:t>
            </w: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276.6</w:t>
            </w:r>
          </w:p>
        </w:tc>
        <w:tc>
          <w:tcPr>
            <w:tcW w:w="0" w:type="dxa"/>
            <w:vAlign w:val="bottom"/>
          </w:tcPr>
          <w:p>
            <w:pPr>
              <w:spacing w:after="0"/>
              <w:rPr>
                <w:sz w:val="1"/>
                <w:szCs w:val="1"/>
                <w:color w:val="auto"/>
              </w:rPr>
            </w:pPr>
          </w:p>
        </w:tc>
      </w:tr>
      <w:tr>
        <w:trPr>
          <w:trHeight w:val="262"/>
        </w:trPr>
        <w:tc>
          <w:tcPr>
            <w:tcW w:w="4140" w:type="dxa"/>
            <w:vAlign w:val="bottom"/>
            <w:tcBorders>
              <w:top w:val="single" w:sz="8" w:color="E3E3E3"/>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Balance as of April 30, 2023</w:t>
            </w:r>
          </w:p>
        </w:tc>
        <w:tc>
          <w:tcPr>
            <w:tcW w:w="20" w:type="dxa"/>
            <w:vAlign w:val="bottom"/>
            <w:tcBorders>
              <w:top w:val="single" w:sz="8" w:color="auto"/>
              <w:bottom w:val="single" w:sz="8" w:color="auto"/>
            </w:tcBorders>
            <w:shd w:val="clear" w:color="auto" w:fill="E3E3E3"/>
          </w:tcPr>
          <w:p>
            <w:pPr>
              <w:spacing w:after="0"/>
              <w:rPr>
                <w:sz w:val="22"/>
                <w:szCs w:val="22"/>
                <w:color w:val="auto"/>
              </w:rPr>
            </w:pPr>
          </w:p>
        </w:tc>
        <w:tc>
          <w:tcPr>
            <w:tcW w:w="1120" w:type="dxa"/>
            <w:vAlign w:val="bottom"/>
            <w:tcBorders>
              <w:top w:val="single" w:sz="8" w:color="auto"/>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305.6</w:t>
            </w:r>
          </w:p>
        </w:tc>
        <w:tc>
          <w:tcPr>
            <w:tcW w:w="10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auto"/>
              <w:bottom w:val="single" w:sz="8" w:color="auto"/>
            </w:tcBorders>
            <w:shd w:val="clear" w:color="auto" w:fill="E3E3E3"/>
          </w:tcPr>
          <w:p>
            <w:pPr>
              <w:spacing w:after="0"/>
              <w:rPr>
                <w:sz w:val="22"/>
                <w:szCs w:val="22"/>
                <w:color w:val="auto"/>
              </w:rPr>
            </w:pPr>
          </w:p>
        </w:tc>
        <w:tc>
          <w:tcPr>
            <w:tcW w:w="100" w:type="dxa"/>
            <w:vAlign w:val="bottom"/>
            <w:tcBorders>
              <w:top w:val="single" w:sz="8" w:color="auto"/>
              <w:bottom w:val="single" w:sz="8" w:color="auto"/>
            </w:tcBorders>
            <w:shd w:val="clear" w:color="auto" w:fill="E3E3E3"/>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2,708.2</w:t>
            </w: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c>
          <w:tcPr>
            <w:tcW w:w="100" w:type="dxa"/>
            <w:vAlign w:val="bottom"/>
            <w:tcBorders>
              <w:top w:val="single" w:sz="8" w:color="E3E3E3"/>
              <w:bottom w:val="single" w:sz="8" w:color="E3E3E3"/>
            </w:tcBorders>
            <w:shd w:val="clear" w:color="auto" w:fill="E3E3E3"/>
          </w:tcPr>
          <w:p>
            <w:pPr>
              <w:spacing w:after="0"/>
              <w:rPr>
                <w:sz w:val="22"/>
                <w:szCs w:val="22"/>
                <w:color w:val="auto"/>
              </w:rPr>
            </w:pPr>
          </w:p>
        </w:tc>
        <w:tc>
          <w:tcPr>
            <w:tcW w:w="140" w:type="dxa"/>
            <w:vAlign w:val="bottom"/>
            <w:tcBorders>
              <w:top w:val="single" w:sz="8" w:color="auto"/>
              <w:bottom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auto"/>
              <w:bottom w:val="single" w:sz="8" w:color="auto"/>
            </w:tcBorders>
            <w:shd w:val="clear" w:color="auto" w:fill="E3E3E3"/>
          </w:tcPr>
          <w:p>
            <w:pPr>
              <w:spacing w:after="0"/>
              <w:rPr>
                <w:sz w:val="22"/>
                <w:szCs w:val="22"/>
                <w:color w:val="auto"/>
              </w:rPr>
            </w:pPr>
          </w:p>
        </w:tc>
        <w:tc>
          <w:tcPr>
            <w:tcW w:w="700" w:type="dxa"/>
            <w:vAlign w:val="bottom"/>
            <w:tcBorders>
              <w:top w:val="single" w:sz="8" w:color="auto"/>
              <w:bottom w:val="single" w:sz="8" w:color="auto"/>
            </w:tcBorders>
            <w:shd w:val="clear" w:color="auto" w:fill="E3E3E3"/>
          </w:tcPr>
          <w:p>
            <w:pPr>
              <w:jc w:val="right"/>
              <w:ind w:right="52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(1,455.1)</w:t>
            </w:r>
          </w:p>
        </w:tc>
        <w:tc>
          <w:tcPr>
            <w:tcW w:w="120" w:type="dxa"/>
            <w:vAlign w:val="bottom"/>
            <w:tcBorders>
              <w:top w:val="single" w:sz="8" w:color="E3E3E3"/>
              <w:bottom w:val="single" w:sz="8" w:color="E3E3E3"/>
            </w:tcBorders>
            <w:shd w:val="clear" w:color="auto" w:fill="E3E3E3"/>
          </w:tcPr>
          <w:p>
            <w:pPr>
              <w:spacing w:after="0"/>
              <w:rPr>
                <w:sz w:val="22"/>
                <w:szCs w:val="22"/>
                <w:color w:val="auto"/>
              </w:rPr>
            </w:pPr>
          </w:p>
        </w:tc>
        <w:tc>
          <w:tcPr>
            <w:tcW w:w="460" w:type="dxa"/>
            <w:vAlign w:val="bottom"/>
            <w:tcBorders>
              <w:top w:val="single" w:sz="8" w:color="auto"/>
              <w:bottom w:val="single" w:sz="8" w:color="auto"/>
            </w:tcBorders>
            <w:shd w:val="clear" w:color="auto" w:fill="E3E3E3"/>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1,232.4</w:t>
            </w:r>
          </w:p>
        </w:tc>
        <w:tc>
          <w:tcPr>
            <w:tcW w:w="0" w:type="dxa"/>
            <w:vAlign w:val="bottom"/>
          </w:tcPr>
          <w:p>
            <w:pPr>
              <w:spacing w:after="0"/>
              <w:rPr>
                <w:sz w:val="1"/>
                <w:szCs w:val="1"/>
                <w:color w:val="auto"/>
              </w:rPr>
            </w:pPr>
          </w:p>
        </w:tc>
      </w:tr>
      <w:tr>
        <w:trPr>
          <w:trHeight w:val="20"/>
        </w:trPr>
        <w:tc>
          <w:tcPr>
            <w:tcW w:w="4140" w:type="dxa"/>
            <w:vAlign w:val="bottom"/>
            <w:tcBorders>
              <w:top w:val="single" w:sz="8" w:color="E3E3E3"/>
            </w:tcBorders>
          </w:tcPr>
          <w:p>
            <w:pPr>
              <w:spacing w:after="0" w:line="20" w:lineRule="exact"/>
              <w:rPr>
                <w:sz w:val="1"/>
                <w:szCs w:val="1"/>
                <w:color w:val="auto"/>
              </w:rPr>
            </w:pPr>
          </w:p>
        </w:tc>
        <w:tc>
          <w:tcPr>
            <w:tcW w:w="20" w:type="dxa"/>
            <w:vAlign w:val="bottom"/>
            <w:tcBorders>
              <w:top w:val="single" w:sz="8" w:color="E3E3E3"/>
              <w:bottom w:val="single" w:sz="8" w:color="auto"/>
            </w:tcBorders>
          </w:tcPr>
          <w:p>
            <w:pPr>
              <w:spacing w:after="0" w:line="20" w:lineRule="exact"/>
              <w:rPr>
                <w:sz w:val="1"/>
                <w:szCs w:val="1"/>
                <w:color w:val="auto"/>
              </w:rPr>
            </w:pPr>
          </w:p>
        </w:tc>
        <w:tc>
          <w:tcPr>
            <w:tcW w:w="11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bottom w:val="single" w:sz="8" w:color="auto"/>
            </w:tcBorders>
          </w:tcPr>
          <w:p>
            <w:pPr>
              <w:spacing w:after="0" w:line="20" w:lineRule="exact"/>
              <w:rPr>
                <w:sz w:val="1"/>
                <w:szCs w:val="1"/>
                <w:color w:val="auto"/>
              </w:rPr>
            </w:pPr>
          </w:p>
        </w:tc>
        <w:tc>
          <w:tcPr>
            <w:tcW w:w="1020" w:type="dxa"/>
            <w:vAlign w:val="bottom"/>
            <w:tcBorders>
              <w:top w:val="single" w:sz="8" w:color="E3E3E3"/>
              <w:bottom w:val="single" w:sz="8" w:color="auto"/>
            </w:tcBorders>
          </w:tcPr>
          <w:p>
            <w:pPr>
              <w:spacing w:after="0" w:line="20" w:lineRule="exact"/>
              <w:rPr>
                <w:sz w:val="1"/>
                <w:szCs w:val="1"/>
                <w:color w:val="auto"/>
              </w:rPr>
            </w:pPr>
          </w:p>
        </w:tc>
        <w:tc>
          <w:tcPr>
            <w:tcW w:w="2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40" w:type="dxa"/>
            <w:vAlign w:val="bottom"/>
            <w:tcBorders>
              <w:top w:val="single" w:sz="8" w:color="E3E3E3"/>
              <w:bottom w:val="single" w:sz="8" w:color="auto"/>
            </w:tcBorders>
          </w:tcPr>
          <w:p>
            <w:pPr>
              <w:spacing w:after="0" w:line="20" w:lineRule="exact"/>
              <w:rPr>
                <w:sz w:val="1"/>
                <w:szCs w:val="1"/>
                <w:color w:val="auto"/>
              </w:rPr>
            </w:pPr>
          </w:p>
        </w:tc>
        <w:tc>
          <w:tcPr>
            <w:tcW w:w="136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 w:type="dxa"/>
            <w:vAlign w:val="bottom"/>
            <w:tcBorders>
              <w:top w:val="single" w:sz="8" w:color="E3E3E3"/>
              <w:bottom w:val="single" w:sz="8" w:color="auto"/>
            </w:tcBorders>
          </w:tcPr>
          <w:p>
            <w:pPr>
              <w:spacing w:after="0" w:line="20" w:lineRule="exact"/>
              <w:rPr>
                <w:sz w:val="1"/>
                <w:szCs w:val="1"/>
                <w:color w:val="auto"/>
              </w:rPr>
            </w:pPr>
          </w:p>
        </w:tc>
        <w:tc>
          <w:tcPr>
            <w:tcW w:w="70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460" w:type="dxa"/>
            <w:vAlign w:val="bottom"/>
            <w:tcBorders>
              <w:top w:val="single" w:sz="8" w:color="E3E3E3"/>
              <w:bottom w:val="single" w:sz="8" w:color="auto"/>
            </w:tcBorders>
          </w:tcPr>
          <w:p>
            <w:pPr>
              <w:spacing w:after="0" w:line="20" w:lineRule="exact"/>
              <w:rPr>
                <w:sz w:val="1"/>
                <w:szCs w:val="1"/>
                <w:color w:val="auto"/>
              </w:rPr>
            </w:pPr>
          </w:p>
        </w:tc>
        <w:tc>
          <w:tcPr>
            <w:tcW w:w="98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Nine Months Ended April 30, 2024</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140" w:type="dxa"/>
            <w:vAlign w:val="bottom"/>
          </w:tcPr>
          <w:p>
            <w:pPr>
              <w:spacing w:after="0"/>
              <w:rPr>
                <w:sz w:val="21"/>
                <w:szCs w:val="21"/>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 and Additional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Retained Earnings</w:t>
            </w: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97"/>
        </w:trPr>
        <w:tc>
          <w:tcPr>
            <w:tcW w:w="41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(Accumulated</w:t>
            </w:r>
          </w:p>
        </w:tc>
        <w:tc>
          <w:tcPr>
            <w:tcW w:w="1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4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E3E3E3"/>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E3E3E3"/>
            </w:tcBorders>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Borders>
              <w:bottom w:val="single" w:sz="8" w:color="E3E3E3"/>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E3E3E3"/>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8"/>
        </w:trPr>
        <w:tc>
          <w:tcPr>
            <w:tcW w:w="414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 as of July 31, 2023</w:t>
            </w:r>
          </w:p>
        </w:tc>
        <w:tc>
          <w:tcPr>
            <w:tcW w:w="11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308.3</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3,019.0</w:t>
            </w:r>
          </w:p>
        </w:tc>
        <w:tc>
          <w:tcPr>
            <w:tcW w:w="240" w:type="dxa"/>
            <w:vAlign w:val="bottom"/>
            <w:gridSpan w:val="2"/>
            <w:shd w:val="clear" w:color="auto" w:fill="E3E3E3"/>
          </w:tcPr>
          <w:p>
            <w:pPr>
              <w:ind w:left="14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E3E3E3"/>
          </w:tcPr>
          <w:p>
            <w:pPr>
              <w:spacing w:after="0"/>
              <w:rPr>
                <w:sz w:val="20"/>
                <w:szCs w:val="20"/>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(1,227.4)</w:t>
            </w:r>
          </w:p>
        </w:tc>
        <w:tc>
          <w:tcPr>
            <w:tcW w:w="120" w:type="dxa"/>
            <w:vAlign w:val="bottom"/>
            <w:shd w:val="clear" w:color="auto" w:fill="E3E3E3"/>
          </w:tcPr>
          <w:p>
            <w:pPr>
              <w:spacing w:after="0"/>
              <w:rPr>
                <w:sz w:val="20"/>
                <w:szCs w:val="20"/>
                <w:color w:val="auto"/>
              </w:rPr>
            </w:pPr>
          </w:p>
        </w:tc>
        <w:tc>
          <w:tcPr>
            <w:tcW w:w="460" w:type="dxa"/>
            <w:vAlign w:val="bottom"/>
            <w:shd w:val="clear" w:color="auto" w:fill="E3E3E3"/>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1,748.4</w:t>
            </w:r>
          </w:p>
        </w:tc>
        <w:tc>
          <w:tcPr>
            <w:tcW w:w="0" w:type="dxa"/>
            <w:vAlign w:val="bottom"/>
          </w:tcPr>
          <w:p>
            <w:pPr>
              <w:spacing w:after="0"/>
              <w:rPr>
                <w:sz w:val="1"/>
                <w:szCs w:val="1"/>
                <w:color w:val="auto"/>
              </w:rPr>
            </w:pPr>
          </w:p>
        </w:tc>
      </w:tr>
      <w:tr>
        <w:trPr>
          <w:trHeight w:val="235"/>
        </w:trPr>
        <w:tc>
          <w:tcPr>
            <w:tcW w:w="41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2,219.9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2,219.9</w:t>
            </w:r>
          </w:p>
        </w:tc>
        <w:tc>
          <w:tcPr>
            <w:tcW w:w="0" w:type="dxa"/>
            <w:vAlign w:val="bottom"/>
          </w:tcPr>
          <w:p>
            <w:pPr>
              <w:spacing w:after="0"/>
              <w:rPr>
                <w:sz w:val="1"/>
                <w:szCs w:val="1"/>
                <w:color w:val="auto"/>
              </w:rPr>
            </w:pPr>
          </w:p>
        </w:tc>
      </w:tr>
      <w:tr>
        <w:trPr>
          <w:trHeight w:val="251"/>
        </w:trPr>
        <w:tc>
          <w:tcPr>
            <w:tcW w:w="41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Other comprehensive loss</w:t>
            </w:r>
          </w:p>
        </w:tc>
        <w:tc>
          <w:tcPr>
            <w:tcW w:w="12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3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2"/>
        </w:trPr>
        <w:tc>
          <w:tcPr>
            <w:tcW w:w="4140" w:type="dxa"/>
            <w:vAlign w:val="bottom"/>
          </w:tcPr>
          <w:p>
            <w:pPr>
              <w:ind w:left="240"/>
              <w:spacing w:after="0"/>
              <w:rPr>
                <w:sz w:val="20"/>
                <w:szCs w:val="20"/>
                <w:color w:val="auto"/>
              </w:rPr>
            </w:pPr>
            <w:r>
              <w:rPr>
                <w:rFonts w:ascii="Arial" w:cs="Arial" w:eastAsia="Arial" w:hAnsi="Arial"/>
                <w:sz w:val="16"/>
                <w:szCs w:val="16"/>
                <w:color w:val="auto"/>
              </w:rPr>
              <w:t>Issuance of common stock in connection with</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40" w:type="dxa"/>
            <w:vAlign w:val="bottom"/>
          </w:tcPr>
          <w:p>
            <w:pPr>
              <w:ind w:left="240"/>
              <w:spacing w:after="0"/>
              <w:rPr>
                <w:sz w:val="20"/>
                <w:szCs w:val="20"/>
                <w:color w:val="auto"/>
              </w:rPr>
            </w:pPr>
            <w:r>
              <w:rPr>
                <w:rFonts w:ascii="Arial" w:cs="Arial" w:eastAsia="Arial" w:hAnsi="Arial"/>
                <w:sz w:val="16"/>
                <w:szCs w:val="16"/>
                <w:color w:val="auto"/>
              </w:rPr>
              <w:t>employee equity incentive plans</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258.1</w:t>
            </w:r>
          </w:p>
        </w:tc>
        <w:tc>
          <w:tcPr>
            <w:tcW w:w="0" w:type="dxa"/>
            <w:vAlign w:val="bottom"/>
          </w:tcPr>
          <w:p>
            <w:pPr>
              <w:spacing w:after="0"/>
              <w:rPr>
                <w:sz w:val="1"/>
                <w:szCs w:val="1"/>
                <w:color w:val="auto"/>
              </w:rPr>
            </w:pPr>
          </w:p>
        </w:tc>
      </w:tr>
      <w:tr>
        <w:trPr>
          <w:trHeight w:val="210"/>
        </w:trPr>
        <w:tc>
          <w:tcPr>
            <w:tcW w:w="41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Taxes paid related to net share settlement of equity</w:t>
            </w:r>
          </w:p>
        </w:tc>
        <w:tc>
          <w:tcPr>
            <w:tcW w:w="114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3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13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awards</w:t>
            </w:r>
          </w:p>
        </w:tc>
        <w:tc>
          <w:tcPr>
            <w:tcW w:w="12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5"/>
        </w:trPr>
        <w:tc>
          <w:tcPr>
            <w:tcW w:w="4140" w:type="dxa"/>
            <w:vAlign w:val="bottom"/>
          </w:tcPr>
          <w:p>
            <w:pPr>
              <w:ind w:left="240"/>
              <w:spacing w:after="0"/>
              <w:rPr>
                <w:sz w:val="20"/>
                <w:szCs w:val="20"/>
                <w:color w:val="auto"/>
              </w:rPr>
            </w:pPr>
            <w:r>
              <w:rPr>
                <w:rFonts w:ascii="Arial" w:cs="Arial" w:eastAsia="Arial" w:hAnsi="Arial"/>
                <w:sz w:val="16"/>
                <w:szCs w:val="16"/>
                <w:color w:val="auto"/>
              </w:rPr>
              <w:t>Share-based compensation for equity-based awards</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845.2</w:t>
            </w:r>
          </w:p>
        </w:tc>
        <w:tc>
          <w:tcPr>
            <w:tcW w:w="0" w:type="dxa"/>
            <w:vAlign w:val="bottom"/>
          </w:tcPr>
          <w:p>
            <w:pPr>
              <w:spacing w:after="0"/>
              <w:rPr>
                <w:sz w:val="1"/>
                <w:szCs w:val="1"/>
                <w:color w:val="auto"/>
              </w:rPr>
            </w:pPr>
          </w:p>
        </w:tc>
      </w:tr>
      <w:tr>
        <w:trPr>
          <w:trHeight w:val="251"/>
        </w:trPr>
        <w:tc>
          <w:tcPr>
            <w:tcW w:w="41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Repurchase and retirement of common stock</w:t>
            </w: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(566.7)</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(566.7)</w:t>
            </w:r>
          </w:p>
        </w:tc>
        <w:tc>
          <w:tcPr>
            <w:tcW w:w="0" w:type="dxa"/>
            <w:vAlign w:val="bottom"/>
          </w:tcPr>
          <w:p>
            <w:pPr>
              <w:spacing w:after="0"/>
              <w:rPr>
                <w:sz w:val="1"/>
                <w:szCs w:val="1"/>
                <w:color w:val="auto"/>
              </w:rPr>
            </w:pPr>
          </w:p>
        </w:tc>
      </w:tr>
      <w:tr>
        <w:trPr>
          <w:trHeight w:val="235"/>
        </w:trPr>
        <w:tc>
          <w:tcPr>
            <w:tcW w:w="4140" w:type="dxa"/>
            <w:vAlign w:val="bottom"/>
          </w:tcPr>
          <w:p>
            <w:pPr>
              <w:ind w:left="240"/>
              <w:spacing w:after="0"/>
              <w:rPr>
                <w:sz w:val="20"/>
                <w:szCs w:val="20"/>
                <w:color w:val="auto"/>
              </w:rPr>
            </w:pPr>
            <w:r>
              <w:rPr>
                <w:rFonts w:ascii="Arial" w:cs="Arial" w:eastAsia="Arial" w:hAnsi="Arial"/>
                <w:sz w:val="16"/>
                <w:szCs w:val="16"/>
                <w:color w:val="auto"/>
              </w:rPr>
              <w:t>Settlement of convertible notes</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1"/>
        </w:trPr>
        <w:tc>
          <w:tcPr>
            <w:tcW w:w="41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Settlement of note hedges</w:t>
            </w:r>
          </w:p>
        </w:tc>
        <w:tc>
          <w:tcPr>
            <w:tcW w:w="1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Settlement of warrants</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14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Balance as of April 30, 2024</w:t>
            </w:r>
          </w:p>
        </w:tc>
        <w:tc>
          <w:tcPr>
            <w:tcW w:w="114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323.4</w:t>
            </w:r>
          </w:p>
        </w:tc>
        <w:tc>
          <w:tcPr>
            <w:tcW w:w="10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3,530.7</w:t>
            </w:r>
          </w:p>
        </w:tc>
        <w:tc>
          <w:tcPr>
            <w:tcW w:w="12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992.5</w:t>
            </w:r>
          </w:p>
        </w:tc>
        <w:tc>
          <w:tcPr>
            <w:tcW w:w="120" w:type="dxa"/>
            <w:vAlign w:val="bottom"/>
            <w:tcBorders>
              <w:bottom w:val="single" w:sz="8" w:color="E3E3E3"/>
            </w:tcBorders>
            <w:shd w:val="clear" w:color="auto" w:fill="E3E3E3"/>
          </w:tcPr>
          <w:p>
            <w:pPr>
              <w:spacing w:after="0"/>
              <w:rPr>
                <w:sz w:val="22"/>
                <w:szCs w:val="22"/>
                <w:color w:val="auto"/>
              </w:rPr>
            </w:pPr>
          </w:p>
        </w:tc>
        <w:tc>
          <w:tcPr>
            <w:tcW w:w="460" w:type="dxa"/>
            <w:vAlign w:val="bottom"/>
            <w:tcBorders>
              <w:bottom w:val="single" w:sz="8" w:color="auto"/>
            </w:tcBorders>
            <w:shd w:val="clear" w:color="auto" w:fill="E3E3E3"/>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4,467.8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1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Nine Months Ended April 30, 2023</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 and Additional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29"/>
        </w:trPr>
        <w:tc>
          <w:tcPr>
            <w:tcW w:w="4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E3E3E3"/>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Borders>
              <w:bottom w:val="single" w:sz="8" w:color="E3E3E3"/>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Accumulated Deficit</w:t>
            </w:r>
          </w:p>
        </w:tc>
        <w:tc>
          <w:tcPr>
            <w:tcW w:w="120" w:type="dxa"/>
            <w:vAlign w:val="bottom"/>
            <w:tcBorders>
              <w:bottom w:val="single" w:sz="8" w:color="E3E3E3"/>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414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 as of July 31, 2022</w:t>
            </w:r>
          </w:p>
        </w:tc>
        <w:tc>
          <w:tcPr>
            <w:tcW w:w="11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298.8</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1,932.7</w:t>
            </w:r>
          </w:p>
        </w:tc>
        <w:tc>
          <w:tcPr>
            <w:tcW w:w="240" w:type="dxa"/>
            <w:vAlign w:val="bottom"/>
            <w:gridSpan w:val="2"/>
            <w:shd w:val="clear" w:color="auto" w:fill="E3E3E3"/>
          </w:tcPr>
          <w:p>
            <w:pPr>
              <w:ind w:left="14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(1,667.1)</w:t>
            </w: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35"/>
        </w:trPr>
        <w:tc>
          <w:tcPr>
            <w:tcW w:w="41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51"/>
        </w:trPr>
        <w:tc>
          <w:tcPr>
            <w:tcW w:w="41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Other comprehensive income</w:t>
            </w:r>
          </w:p>
        </w:tc>
        <w:tc>
          <w:tcPr>
            <w:tcW w:w="12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3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2"/>
        </w:trPr>
        <w:tc>
          <w:tcPr>
            <w:tcW w:w="4140" w:type="dxa"/>
            <w:vAlign w:val="bottom"/>
          </w:tcPr>
          <w:p>
            <w:pPr>
              <w:ind w:left="240"/>
              <w:spacing w:after="0"/>
              <w:rPr>
                <w:sz w:val="20"/>
                <w:szCs w:val="20"/>
                <w:color w:val="auto"/>
              </w:rPr>
            </w:pPr>
            <w:r>
              <w:rPr>
                <w:rFonts w:ascii="Arial" w:cs="Arial" w:eastAsia="Arial" w:hAnsi="Arial"/>
                <w:sz w:val="16"/>
                <w:szCs w:val="16"/>
                <w:color w:val="auto"/>
              </w:rPr>
              <w:t>Issuance of common stock in connection with</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40" w:type="dxa"/>
            <w:vAlign w:val="bottom"/>
          </w:tcPr>
          <w:p>
            <w:pPr>
              <w:ind w:left="240"/>
              <w:spacing w:after="0"/>
              <w:rPr>
                <w:sz w:val="20"/>
                <w:szCs w:val="20"/>
                <w:color w:val="auto"/>
              </w:rPr>
            </w:pPr>
            <w:r>
              <w:rPr>
                <w:rFonts w:ascii="Arial" w:cs="Arial" w:eastAsia="Arial" w:hAnsi="Arial"/>
                <w:sz w:val="16"/>
                <w:szCs w:val="16"/>
                <w:color w:val="auto"/>
              </w:rPr>
              <w:t>employee equity incentive plans</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10"/>
        </w:trPr>
        <w:tc>
          <w:tcPr>
            <w:tcW w:w="41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Taxes paid related to net share settlement of equity</w:t>
            </w:r>
          </w:p>
        </w:tc>
        <w:tc>
          <w:tcPr>
            <w:tcW w:w="114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3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40" w:type="dxa"/>
            <w:vAlign w:val="bottom"/>
            <w:shd w:val="clear" w:color="auto" w:fill="E3E3E3"/>
          </w:tcPr>
          <w:p>
            <w:pPr>
              <w:spacing w:after="0"/>
              <w:rPr>
                <w:sz w:val="18"/>
                <w:szCs w:val="18"/>
                <w:color w:val="auto"/>
              </w:rPr>
            </w:pPr>
          </w:p>
        </w:tc>
        <w:tc>
          <w:tcPr>
            <w:tcW w:w="13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1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awards</w:t>
            </w:r>
          </w:p>
        </w:tc>
        <w:tc>
          <w:tcPr>
            <w:tcW w:w="12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4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E3E3E3"/>
          </w:tcPr>
          <w:p>
            <w:pPr>
              <w:spacing w:after="0"/>
              <w:rPr>
                <w:sz w:val="21"/>
                <w:szCs w:val="21"/>
                <w:color w:val="auto"/>
              </w:rPr>
            </w:pPr>
          </w:p>
        </w:tc>
        <w:tc>
          <w:tcPr>
            <w:tcW w:w="9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5"/>
        </w:trPr>
        <w:tc>
          <w:tcPr>
            <w:tcW w:w="4140" w:type="dxa"/>
            <w:vAlign w:val="bottom"/>
          </w:tcPr>
          <w:p>
            <w:pPr>
              <w:ind w:left="240"/>
              <w:spacing w:after="0"/>
              <w:rPr>
                <w:sz w:val="20"/>
                <w:szCs w:val="20"/>
                <w:color w:val="auto"/>
              </w:rPr>
            </w:pPr>
            <w:r>
              <w:rPr>
                <w:rFonts w:ascii="Arial" w:cs="Arial" w:eastAsia="Arial" w:hAnsi="Arial"/>
                <w:sz w:val="16"/>
                <w:szCs w:val="16"/>
                <w:color w:val="auto"/>
              </w:rPr>
              <w:t>Share-based compensation for equity-based awards</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843.3</w:t>
            </w:r>
          </w:p>
        </w:tc>
        <w:tc>
          <w:tcPr>
            <w:tcW w:w="0" w:type="dxa"/>
            <w:vAlign w:val="bottom"/>
          </w:tcPr>
          <w:p>
            <w:pPr>
              <w:spacing w:after="0"/>
              <w:rPr>
                <w:sz w:val="1"/>
                <w:szCs w:val="1"/>
                <w:color w:val="auto"/>
              </w:rPr>
            </w:pPr>
          </w:p>
        </w:tc>
      </w:tr>
      <w:tr>
        <w:trPr>
          <w:trHeight w:val="244"/>
        </w:trPr>
        <w:tc>
          <w:tcPr>
            <w:tcW w:w="41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Repurchase and retirement of common stock</w:t>
            </w:r>
          </w:p>
        </w:tc>
        <w:tc>
          <w:tcPr>
            <w:tcW w:w="11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E3E3E3"/>
          </w:tcPr>
          <w:p>
            <w:pPr>
              <w:spacing w:after="0"/>
              <w:rPr>
                <w:sz w:val="21"/>
                <w:szCs w:val="21"/>
                <w:color w:val="auto"/>
              </w:rPr>
            </w:pPr>
          </w:p>
        </w:tc>
        <w:tc>
          <w:tcPr>
            <w:tcW w:w="12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E3E3E3"/>
          </w:tcPr>
          <w:p>
            <w:pPr>
              <w:spacing w:after="0"/>
              <w:rPr>
                <w:sz w:val="21"/>
                <w:szCs w:val="21"/>
                <w:color w:val="auto"/>
              </w:rPr>
            </w:pPr>
          </w:p>
        </w:tc>
        <w:tc>
          <w:tcPr>
            <w:tcW w:w="120" w:type="dxa"/>
            <w:vAlign w:val="bottom"/>
            <w:tcBorders>
              <w:bottom w:val="single" w:sz="8" w:color="auto"/>
            </w:tcBorders>
            <w:shd w:val="clear" w:color="auto" w:fill="E3E3E3"/>
          </w:tcPr>
          <w:p>
            <w:pPr>
              <w:spacing w:after="0"/>
              <w:rPr>
                <w:sz w:val="21"/>
                <w:szCs w:val="21"/>
                <w:color w:val="auto"/>
              </w:rPr>
            </w:pPr>
          </w:p>
        </w:tc>
        <w:tc>
          <w:tcPr>
            <w:tcW w:w="13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140" w:type="dxa"/>
            <w:vAlign w:val="bottom"/>
            <w:tcBorders>
              <w:bottom w:val="single" w:sz="8" w:color="auto"/>
            </w:tcBorders>
            <w:shd w:val="clear" w:color="auto" w:fill="E3E3E3"/>
          </w:tcPr>
          <w:p>
            <w:pPr>
              <w:spacing w:after="0"/>
              <w:rPr>
                <w:sz w:val="21"/>
                <w:szCs w:val="21"/>
                <w:color w:val="auto"/>
              </w:rPr>
            </w:pPr>
          </w:p>
        </w:tc>
        <w:tc>
          <w:tcPr>
            <w:tcW w:w="13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460" w:type="dxa"/>
            <w:vAlign w:val="bottom"/>
            <w:tcBorders>
              <w:bottom w:val="single" w:sz="8" w:color="auto"/>
            </w:tcBorders>
            <w:shd w:val="clear" w:color="auto" w:fill="E3E3E3"/>
          </w:tcPr>
          <w:p>
            <w:pPr>
              <w:spacing w:after="0"/>
              <w:rPr>
                <w:sz w:val="21"/>
                <w:szCs w:val="21"/>
                <w:color w:val="auto"/>
              </w:rPr>
            </w:pPr>
          </w:p>
        </w:tc>
        <w:tc>
          <w:tcPr>
            <w:tcW w:w="9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6"/>
                <w:szCs w:val="16"/>
                <w:color w:val="auto"/>
              </w:rPr>
              <w:t>Balance as of April 30, 2023</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305.6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2,708.2</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(1,455.1)</w:t>
            </w:r>
          </w:p>
        </w:tc>
        <w:tc>
          <w:tcPr>
            <w:tcW w:w="120" w:type="dxa"/>
            <w:vAlign w:val="bottom"/>
          </w:tcPr>
          <w:p>
            <w:pPr>
              <w:spacing w:after="0"/>
              <w:rPr>
                <w:sz w:val="21"/>
                <w:szCs w:val="21"/>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1,232.4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PALO ALTO NETWORKS, INC.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Nine Months Ended April 30,</w:t>
            </w:r>
          </w:p>
        </w:tc>
      </w:tr>
      <w:tr>
        <w:trPr>
          <w:trHeight w:val="223"/>
        </w:trPr>
        <w:tc>
          <w:tcPr>
            <w:tcW w:w="8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E3E3E3"/>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r>
      <w:tr>
        <w:trPr>
          <w:trHeight w:val="235"/>
        </w:trPr>
        <w:tc>
          <w:tcPr>
            <w:tcW w:w="800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2,219.9</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212.0</w:t>
            </w:r>
          </w:p>
        </w:tc>
      </w:tr>
      <w:tr>
        <w:trPr>
          <w:trHeight w:val="251"/>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r>
      <w:tr>
        <w:trPr>
          <w:trHeight w:val="235"/>
        </w:trPr>
        <w:tc>
          <w:tcPr>
            <w:tcW w:w="8000" w:type="dxa"/>
            <w:vAlign w:val="bottom"/>
          </w:tcPr>
          <w:p>
            <w:pPr>
              <w:ind w:left="460"/>
              <w:spacing w:after="0"/>
              <w:rPr>
                <w:sz w:val="20"/>
                <w:szCs w:val="20"/>
                <w:color w:val="auto"/>
              </w:rPr>
            </w:pPr>
            <w:r>
              <w:rPr>
                <w:rFonts w:ascii="Arial" w:cs="Arial" w:eastAsia="Arial" w:hAnsi="Arial"/>
                <w:sz w:val="16"/>
                <w:szCs w:val="16"/>
                <w:color w:val="auto"/>
              </w:rPr>
              <w:t>Share-based compensation for equity-based awards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820.3</w:t>
            </w:r>
          </w:p>
        </w:tc>
      </w:tr>
      <w:tr>
        <w:trPr>
          <w:trHeight w:val="251"/>
        </w:trPr>
        <w:tc>
          <w:tcPr>
            <w:tcW w:w="80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(1,818.3)</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5.3</w:t>
            </w:r>
          </w:p>
        </w:tc>
      </w:tr>
      <w:tr>
        <w:trPr>
          <w:trHeight w:val="235"/>
        </w:trPr>
        <w:tc>
          <w:tcPr>
            <w:tcW w:w="800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212.9</w:t>
            </w:r>
          </w:p>
        </w:tc>
      </w:tr>
      <w:tr>
        <w:trPr>
          <w:trHeight w:val="251"/>
        </w:trPr>
        <w:tc>
          <w:tcPr>
            <w:tcW w:w="80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Amortization of deferred contract costs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324.7</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297.4</w:t>
            </w:r>
          </w:p>
        </w:tc>
      </w:tr>
      <w:tr>
        <w:trPr>
          <w:trHeight w:val="235"/>
        </w:trPr>
        <w:tc>
          <w:tcPr>
            <w:tcW w:w="8000" w:type="dxa"/>
            <w:vAlign w:val="bottom"/>
          </w:tcPr>
          <w:p>
            <w:pPr>
              <w:ind w:left="460"/>
              <w:spacing w:after="0"/>
              <w:rPr>
                <w:sz w:val="20"/>
                <w:szCs w:val="20"/>
                <w:color w:val="auto"/>
              </w:rPr>
            </w:pPr>
            <w:r>
              <w:rPr>
                <w:rFonts w:ascii="Arial" w:cs="Arial" w:eastAsia="Arial" w:hAnsi="Arial"/>
                <w:sz w:val="16"/>
                <w:szCs w:val="16"/>
                <w:color w:val="auto"/>
              </w:rPr>
              <w:t>Amortization of debt issuance costs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1"/>
        </w:trPr>
        <w:tc>
          <w:tcPr>
            <w:tcW w:w="80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Reduction of operating lease right-of-use assets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36.7</w:t>
            </w:r>
          </w:p>
        </w:tc>
      </w:tr>
      <w:tr>
        <w:trPr>
          <w:trHeight w:val="235"/>
        </w:trPr>
        <w:tc>
          <w:tcPr>
            <w:tcW w:w="8000" w:type="dxa"/>
            <w:vAlign w:val="bottom"/>
          </w:tcPr>
          <w:p>
            <w:pPr>
              <w:ind w:left="460"/>
              <w:spacing w:after="0"/>
              <w:rPr>
                <w:sz w:val="20"/>
                <w:szCs w:val="20"/>
                <w:color w:val="auto"/>
              </w:rPr>
            </w:pPr>
            <w:r>
              <w:rPr>
                <w:rFonts w:ascii="Arial" w:cs="Arial" w:eastAsia="Arial" w:hAnsi="Arial"/>
                <w:sz w:val="16"/>
                <w:szCs w:val="16"/>
                <w:color w:val="auto"/>
              </w:rPr>
              <w:t>Amortization of investment premiums, net of accretion of purchase discounts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51"/>
        </w:trPr>
        <w:tc>
          <w:tcPr>
            <w:tcW w:w="80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r>
      <w:tr>
        <w:trPr>
          <w:trHeight w:val="235"/>
        </w:trPr>
        <w:tc>
          <w:tcPr>
            <w:tcW w:w="8000" w:type="dxa"/>
            <w:vAlign w:val="bottom"/>
          </w:tcPr>
          <w:p>
            <w:pPr>
              <w:ind w:left="680"/>
              <w:spacing w:after="0"/>
              <w:rPr>
                <w:sz w:val="20"/>
                <w:szCs w:val="20"/>
                <w:color w:val="auto"/>
              </w:rPr>
            </w:pPr>
            <w:r>
              <w:rPr>
                <w:rFonts w:ascii="Arial" w:cs="Arial" w:eastAsia="Arial" w:hAnsi="Arial"/>
                <w:sz w:val="16"/>
                <w:szCs w:val="16"/>
                <w:color w:val="auto"/>
              </w:rPr>
              <w:t>Accounts receivable, net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748.9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699.3</w:t>
            </w:r>
          </w:p>
        </w:tc>
      </w:tr>
      <w:tr>
        <w:trPr>
          <w:trHeight w:val="251"/>
        </w:trPr>
        <w:tc>
          <w:tcPr>
            <w:tcW w:w="8000" w:type="dxa"/>
            <w:vAlign w:val="bottom"/>
            <w:shd w:val="clear" w:color="auto" w:fill="E3E3E3"/>
          </w:tcPr>
          <w:p>
            <w:pPr>
              <w:ind w:left="680"/>
              <w:spacing w:after="0"/>
              <w:rPr>
                <w:sz w:val="20"/>
                <w:szCs w:val="20"/>
                <w:color w:val="auto"/>
              </w:rPr>
            </w:pPr>
            <w:r>
              <w:rPr>
                <w:rFonts w:ascii="Arial" w:cs="Arial" w:eastAsia="Arial" w:hAnsi="Arial"/>
                <w:sz w:val="16"/>
                <w:szCs w:val="16"/>
                <w:color w:val="auto"/>
              </w:rPr>
              <w:t>Financing receivables, net</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(412.7)</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(332.2)</w:t>
            </w:r>
          </w:p>
        </w:tc>
      </w:tr>
      <w:tr>
        <w:trPr>
          <w:trHeight w:val="235"/>
        </w:trPr>
        <w:tc>
          <w:tcPr>
            <w:tcW w:w="8000" w:type="dxa"/>
            <w:vAlign w:val="bottom"/>
          </w:tcPr>
          <w:p>
            <w:pPr>
              <w:ind w:left="680"/>
              <w:spacing w:after="0"/>
              <w:rPr>
                <w:sz w:val="20"/>
                <w:szCs w:val="20"/>
                <w:color w:val="auto"/>
              </w:rPr>
            </w:pPr>
            <w:r>
              <w:rPr>
                <w:rFonts w:ascii="Arial" w:cs="Arial" w:eastAsia="Arial" w:hAnsi="Arial"/>
                <w:sz w:val="16"/>
                <w:szCs w:val="16"/>
                <w:color w:val="auto"/>
              </w:rPr>
              <w:t>Deferred contract costs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(250.5)</w:t>
            </w:r>
          </w:p>
        </w:tc>
      </w:tr>
      <w:tr>
        <w:trPr>
          <w:trHeight w:val="251"/>
        </w:trPr>
        <w:tc>
          <w:tcPr>
            <w:tcW w:w="8000" w:type="dxa"/>
            <w:vAlign w:val="bottom"/>
            <w:shd w:val="clear" w:color="auto" w:fill="E3E3E3"/>
          </w:tcPr>
          <w:p>
            <w:pPr>
              <w:ind w:left="68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(169.4)</w:t>
            </w:r>
          </w:p>
        </w:tc>
      </w:tr>
      <w:tr>
        <w:trPr>
          <w:trHeight w:val="235"/>
        </w:trPr>
        <w:tc>
          <w:tcPr>
            <w:tcW w:w="800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51"/>
        </w:trPr>
        <w:tc>
          <w:tcPr>
            <w:tcW w:w="8000" w:type="dxa"/>
            <w:vAlign w:val="bottom"/>
            <w:shd w:val="clear" w:color="auto" w:fill="E3E3E3"/>
          </w:tcPr>
          <w:p>
            <w:pPr>
              <w:ind w:left="680"/>
              <w:spacing w:after="0"/>
              <w:rPr>
                <w:sz w:val="20"/>
                <w:szCs w:val="20"/>
                <w:color w:val="auto"/>
              </w:rPr>
            </w:pPr>
            <w:r>
              <w:rPr>
                <w:rFonts w:ascii="Arial" w:cs="Arial" w:eastAsia="Arial" w:hAnsi="Arial"/>
                <w:sz w:val="16"/>
                <w:szCs w:val="16"/>
                <w:color w:val="auto"/>
              </w:rPr>
              <w:t>Accrued compensation</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(165.0)</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(119.2)</w:t>
            </w:r>
          </w:p>
        </w:tc>
      </w:tr>
      <w:tr>
        <w:trPr>
          <w:trHeight w:val="235"/>
        </w:trPr>
        <w:tc>
          <w:tcPr>
            <w:tcW w:w="8000" w:type="dxa"/>
            <w:vAlign w:val="bottom"/>
          </w:tcPr>
          <w:p>
            <w:pPr>
              <w:ind w:left="680"/>
              <w:spacing w:after="0"/>
              <w:rPr>
                <w:sz w:val="20"/>
                <w:szCs w:val="20"/>
                <w:color w:val="auto"/>
              </w:rPr>
            </w:pPr>
            <w:r>
              <w:rPr>
                <w:rFonts w:ascii="Arial" w:cs="Arial" w:eastAsia="Arial" w:hAnsi="Arial"/>
                <w:sz w:val="16"/>
                <w:szCs w:val="16"/>
                <w:color w:val="auto"/>
              </w:rPr>
              <w:t>Accrued and other liabilities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(78.7)</w:t>
            </w:r>
          </w:p>
        </w:tc>
      </w:tr>
      <w:tr>
        <w:trPr>
          <w:trHeight w:val="244"/>
        </w:trPr>
        <w:tc>
          <w:tcPr>
            <w:tcW w:w="8000" w:type="dxa"/>
            <w:vAlign w:val="bottom"/>
            <w:shd w:val="clear" w:color="auto" w:fill="E3E3E3"/>
          </w:tcPr>
          <w:p>
            <w:pPr>
              <w:ind w:left="680"/>
              <w:spacing w:after="0"/>
              <w:rPr>
                <w:sz w:val="20"/>
                <w:szCs w:val="20"/>
                <w:color w:val="auto"/>
              </w:rPr>
            </w:pPr>
            <w:r>
              <w:rPr>
                <w:rFonts w:ascii="Arial" w:cs="Arial" w:eastAsia="Arial" w:hAnsi="Arial"/>
                <w:sz w:val="16"/>
                <w:szCs w:val="16"/>
                <w:color w:val="auto"/>
              </w:rPr>
              <w:t>Deferred revenue</w:t>
            </w: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867.7</w:t>
            </w:r>
          </w:p>
        </w:tc>
        <w:tc>
          <w:tcPr>
            <w:tcW w:w="120" w:type="dxa"/>
            <w:vAlign w:val="bottom"/>
            <w:shd w:val="clear" w:color="auto" w:fill="E3E3E3"/>
          </w:tcPr>
          <w:p>
            <w:pPr>
              <w:spacing w:after="0"/>
              <w:rPr>
                <w:sz w:val="21"/>
                <w:szCs w:val="21"/>
                <w:color w:val="auto"/>
              </w:rPr>
            </w:pPr>
          </w:p>
        </w:tc>
        <w:tc>
          <w:tcPr>
            <w:tcW w:w="500" w:type="dxa"/>
            <w:vAlign w:val="bottom"/>
            <w:tcBorders>
              <w:bottom w:val="single" w:sz="8" w:color="auto"/>
            </w:tcBorders>
            <w:shd w:val="clear" w:color="auto" w:fill="E3E3E3"/>
          </w:tcPr>
          <w:p>
            <w:pPr>
              <w:spacing w:after="0"/>
              <w:rPr>
                <w:sz w:val="21"/>
                <w:szCs w:val="21"/>
                <w:color w:val="auto"/>
              </w:rPr>
            </w:pPr>
          </w:p>
        </w:tc>
        <w:tc>
          <w:tcPr>
            <w:tcW w:w="10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1,094.9</w:t>
            </w: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2,744.9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2,363.4</w:t>
            </w:r>
          </w:p>
        </w:tc>
      </w:tr>
      <w:tr>
        <w:trPr>
          <w:trHeight w:val="251"/>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r>
      <w:tr>
        <w:trPr>
          <w:trHeight w:val="235"/>
        </w:trPr>
        <w:tc>
          <w:tcPr>
            <w:tcW w:w="8000" w:type="dxa"/>
            <w:vAlign w:val="bottom"/>
          </w:tcPr>
          <w:p>
            <w:pPr>
              <w:ind w:left="240"/>
              <w:spacing w:after="0"/>
              <w:rPr>
                <w:sz w:val="20"/>
                <w:szCs w:val="20"/>
                <w:color w:val="auto"/>
              </w:rPr>
            </w:pPr>
            <w:r>
              <w:rPr>
                <w:rFonts w:ascii="Arial" w:cs="Arial" w:eastAsia="Arial" w:hAnsi="Arial"/>
                <w:sz w:val="16"/>
                <w:szCs w:val="16"/>
                <w:color w:val="auto"/>
              </w:rPr>
              <w:t>Purchases of investments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(4,461.4)</w:t>
            </w:r>
          </w:p>
        </w:tc>
      </w:tr>
      <w:tr>
        <w:trPr>
          <w:trHeight w:val="251"/>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Proceeds from sales of investments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500.8</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875.0</w:t>
            </w:r>
          </w:p>
        </w:tc>
      </w:tr>
      <w:tr>
        <w:trPr>
          <w:trHeight w:val="235"/>
        </w:trPr>
        <w:tc>
          <w:tcPr>
            <w:tcW w:w="8000" w:type="dxa"/>
            <w:vAlign w:val="bottom"/>
          </w:tcPr>
          <w:p>
            <w:pPr>
              <w:ind w:left="240"/>
              <w:spacing w:after="0"/>
              <w:rPr>
                <w:sz w:val="20"/>
                <w:szCs w:val="20"/>
                <w:color w:val="auto"/>
              </w:rPr>
            </w:pPr>
            <w:r>
              <w:rPr>
                <w:rFonts w:ascii="Arial" w:cs="Arial" w:eastAsia="Arial" w:hAnsi="Arial"/>
                <w:sz w:val="16"/>
                <w:szCs w:val="16"/>
                <w:color w:val="auto"/>
              </w:rPr>
              <w:t>Proceeds from maturities of investments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1,364.3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1,503.6</w:t>
            </w:r>
          </w:p>
        </w:tc>
      </w:tr>
      <w:tr>
        <w:trPr>
          <w:trHeight w:val="251"/>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Business acquisitions, net of cash and restricted cash acquired</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(610.6)</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(204.5)</w:t>
            </w:r>
          </w:p>
        </w:tc>
      </w:tr>
      <w:tr>
        <w:trPr>
          <w:trHeight w:val="237"/>
        </w:trPr>
        <w:tc>
          <w:tcPr>
            <w:tcW w:w="80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Purchases of property, equipment, and other assets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E3E3E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w:t>
            </w:r>
          </w:p>
        </w:tc>
      </w:tr>
      <w:tr>
        <w:trPr>
          <w:trHeight w:val="243"/>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(1,341.4)</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(2,396.4)</w:t>
            </w:r>
          </w:p>
        </w:tc>
      </w:tr>
      <w:tr>
        <w:trPr>
          <w:trHeight w:val="23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Repayments of convertible senior notes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(834.1)</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000" w:type="dxa"/>
            <w:vAlign w:val="bottom"/>
          </w:tcPr>
          <w:p>
            <w:pPr>
              <w:ind w:left="240"/>
              <w:spacing w:after="0"/>
              <w:rPr>
                <w:sz w:val="20"/>
                <w:szCs w:val="20"/>
                <w:color w:val="auto"/>
              </w:rPr>
            </w:pPr>
            <w:r>
              <w:rPr>
                <w:rFonts w:ascii="Arial" w:cs="Arial" w:eastAsia="Arial" w:hAnsi="Arial"/>
                <w:sz w:val="16"/>
                <w:szCs w:val="16"/>
                <w:color w:val="auto"/>
              </w:rPr>
              <w:t>Repurchases of common stock</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(566.7)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(272.7)</w:t>
            </w:r>
          </w:p>
        </w:tc>
      </w:tr>
      <w:tr>
        <w:trPr>
          <w:trHeight w:val="251"/>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Proceeds from sales of shares through employee equity incentive plans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259.7</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198.7</w:t>
            </w:r>
          </w:p>
        </w:tc>
      </w:tr>
      <w:tr>
        <w:trPr>
          <w:trHeight w:val="236"/>
        </w:trPr>
        <w:tc>
          <w:tcPr>
            <w:tcW w:w="80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Payments for taxes related to net share settlement of equity awards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E3E3E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bottom w:val="single" w:sz="8" w:color="auto"/>
            </w:tcBorders>
            <w:shd w:val="clear" w:color="auto" w:fill="E3E3E3"/>
          </w:tcPr>
          <w:p>
            <w:pPr>
              <w:spacing w:after="0"/>
              <w:rPr>
                <w:sz w:val="20"/>
                <w:szCs w:val="20"/>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(1,163.8)</w:t>
            </w:r>
          </w:p>
        </w:tc>
        <w:tc>
          <w:tcPr>
            <w:tcW w:w="120" w:type="dxa"/>
            <w:vAlign w:val="bottom"/>
            <w:shd w:val="clear" w:color="auto" w:fill="E3E3E3"/>
          </w:tcPr>
          <w:p>
            <w:pPr>
              <w:spacing w:after="0"/>
              <w:rPr>
                <w:sz w:val="20"/>
                <w:szCs w:val="20"/>
                <w:color w:val="auto"/>
              </w:rPr>
            </w:pPr>
          </w:p>
        </w:tc>
        <w:tc>
          <w:tcPr>
            <w:tcW w:w="500" w:type="dxa"/>
            <w:vAlign w:val="bottom"/>
            <w:tcBorders>
              <w:bottom w:val="single" w:sz="8" w:color="auto"/>
            </w:tcBorders>
            <w:shd w:val="clear" w:color="auto" w:fill="E3E3E3"/>
          </w:tcPr>
          <w:p>
            <w:pPr>
              <w:spacing w:after="0"/>
              <w:rPr>
                <w:sz w:val="20"/>
                <w:szCs w:val="20"/>
                <w:color w:val="auto"/>
              </w:rPr>
            </w:pPr>
          </w:p>
        </w:tc>
        <w:tc>
          <w:tcPr>
            <w:tcW w:w="10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(91.5)</w:t>
            </w: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(124.5)</w:t>
            </w:r>
          </w:p>
        </w:tc>
      </w:tr>
      <w:tr>
        <w:trPr>
          <w:trHeight w:val="244"/>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1,142.2</w:t>
            </w:r>
          </w:p>
        </w:tc>
        <w:tc>
          <w:tcPr>
            <w:tcW w:w="120" w:type="dxa"/>
            <w:vAlign w:val="bottom"/>
            <w:shd w:val="clear" w:color="auto" w:fill="E3E3E3"/>
          </w:tcPr>
          <w:p>
            <w:pPr>
              <w:spacing w:after="0"/>
              <w:rPr>
                <w:sz w:val="21"/>
                <w:szCs w:val="21"/>
                <w:color w:val="auto"/>
              </w:rPr>
            </w:pPr>
          </w:p>
        </w:tc>
        <w:tc>
          <w:tcPr>
            <w:tcW w:w="500" w:type="dxa"/>
            <w:vAlign w:val="bottom"/>
            <w:tcBorders>
              <w:bottom w:val="single" w:sz="8" w:color="auto"/>
            </w:tcBorders>
            <w:shd w:val="clear" w:color="auto" w:fill="E3E3E3"/>
          </w:tcPr>
          <w:p>
            <w:pPr>
              <w:spacing w:after="0"/>
              <w:rPr>
                <w:sz w:val="21"/>
                <w:szCs w:val="21"/>
                <w:color w:val="auto"/>
              </w:rPr>
            </w:pPr>
          </w:p>
        </w:tc>
        <w:tc>
          <w:tcPr>
            <w:tcW w:w="10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2,124.8</w:t>
            </w:r>
          </w:p>
        </w:tc>
      </w:tr>
      <w:tr>
        <w:trPr>
          <w:trHeight w:val="243"/>
        </w:trPr>
        <w:tc>
          <w:tcPr>
            <w:tcW w:w="80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1,381.9</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2,000.3</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5"/>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condensed consolidated balance</w:t>
            </w:r>
          </w:p>
        </w:tc>
        <w:tc>
          <w:tcPr>
            <w:tcW w:w="380" w:type="dxa"/>
            <w:vAlign w:val="bottom"/>
            <w:shd w:val="clear" w:color="auto" w:fill="E3E3E3"/>
          </w:tcPr>
          <w:p>
            <w:pPr>
              <w:spacing w:after="0"/>
              <w:rPr>
                <w:sz w:val="18"/>
                <w:szCs w:val="18"/>
                <w:color w:val="auto"/>
              </w:rPr>
            </w:pPr>
          </w:p>
        </w:tc>
        <w:tc>
          <w:tcPr>
            <w:tcW w:w="118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500" w:type="dxa"/>
            <w:vAlign w:val="bottom"/>
            <w:shd w:val="clear" w:color="auto" w:fill="E3E3E3"/>
          </w:tcPr>
          <w:p>
            <w:pPr>
              <w:spacing w:after="0"/>
              <w:rPr>
                <w:sz w:val="18"/>
                <w:szCs w:val="18"/>
                <w:color w:val="auto"/>
              </w:rPr>
            </w:pPr>
          </w:p>
        </w:tc>
        <w:tc>
          <w:tcPr>
            <w:tcW w:w="1060" w:type="dxa"/>
            <w:vAlign w:val="bottom"/>
            <w:shd w:val="clear" w:color="auto" w:fill="E3E3E3"/>
          </w:tcPr>
          <w:p>
            <w:pPr>
              <w:spacing w:after="0"/>
              <w:rPr>
                <w:sz w:val="18"/>
                <w:szCs w:val="18"/>
                <w:color w:val="auto"/>
              </w:rPr>
            </w:pPr>
          </w:p>
        </w:tc>
      </w:tr>
      <w:tr>
        <w:trPr>
          <w:trHeight w:val="230"/>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sheets</w:t>
            </w:r>
          </w:p>
        </w:tc>
        <w:tc>
          <w:tcPr>
            <w:tcW w:w="380" w:type="dxa"/>
            <w:vAlign w:val="bottom"/>
            <w:shd w:val="clear" w:color="auto" w:fill="E3E3E3"/>
          </w:tcPr>
          <w:p>
            <w:pPr>
              <w:spacing w:after="0"/>
              <w:rPr>
                <w:sz w:val="20"/>
                <w:szCs w:val="20"/>
                <w:color w:val="auto"/>
              </w:rPr>
            </w:pPr>
          </w:p>
        </w:tc>
        <w:tc>
          <w:tcPr>
            <w:tcW w:w="11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500" w:type="dxa"/>
            <w:vAlign w:val="bottom"/>
            <w:shd w:val="clear" w:color="auto" w:fill="E3E3E3"/>
          </w:tcPr>
          <w:p>
            <w:pPr>
              <w:spacing w:after="0"/>
              <w:rPr>
                <w:sz w:val="20"/>
                <w:szCs w:val="20"/>
                <w:color w:val="auto"/>
              </w:rPr>
            </w:pPr>
          </w:p>
        </w:tc>
        <w:tc>
          <w:tcPr>
            <w:tcW w:w="1060" w:type="dxa"/>
            <w:vAlign w:val="bottom"/>
            <w:shd w:val="clear" w:color="auto" w:fill="E3E3E3"/>
          </w:tcPr>
          <w:p>
            <w:pPr>
              <w:spacing w:after="0"/>
              <w:rPr>
                <w:sz w:val="20"/>
                <w:szCs w:val="20"/>
                <w:color w:val="auto"/>
              </w:rPr>
            </w:pPr>
          </w:p>
        </w:tc>
      </w:tr>
      <w:tr>
        <w:trPr>
          <w:trHeight w:val="235"/>
        </w:trPr>
        <w:tc>
          <w:tcPr>
            <w:tcW w:w="80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1,373.7</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1,992.9</w:t>
            </w:r>
          </w:p>
        </w:tc>
      </w:tr>
      <w:tr>
        <w:trPr>
          <w:trHeight w:val="244"/>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Restricted cash included in prepaid expenses and other current assets</w:t>
            </w: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E3E3E3"/>
          </w:tcPr>
          <w:p>
            <w:pPr>
              <w:spacing w:after="0"/>
              <w:rPr>
                <w:sz w:val="21"/>
                <w:szCs w:val="21"/>
                <w:color w:val="auto"/>
              </w:rPr>
            </w:pPr>
          </w:p>
        </w:tc>
        <w:tc>
          <w:tcPr>
            <w:tcW w:w="500" w:type="dxa"/>
            <w:vAlign w:val="bottom"/>
            <w:tcBorders>
              <w:bottom w:val="single" w:sz="8" w:color="auto"/>
            </w:tcBorders>
            <w:shd w:val="clear" w:color="auto" w:fill="E3E3E3"/>
          </w:tcPr>
          <w:p>
            <w:pPr>
              <w:spacing w:after="0"/>
              <w:rPr>
                <w:sz w:val="21"/>
                <w:szCs w:val="21"/>
                <w:color w:val="auto"/>
              </w:rPr>
            </w:pPr>
          </w:p>
        </w:tc>
        <w:tc>
          <w:tcPr>
            <w:tcW w:w="10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7.4</w:t>
            </w:r>
          </w:p>
        </w:tc>
      </w:tr>
      <w:tr>
        <w:trPr>
          <w:trHeight w:val="243"/>
        </w:trPr>
        <w:tc>
          <w:tcPr>
            <w:tcW w:w="8000" w:type="dxa"/>
            <w:vAlign w:val="bottom"/>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1,381.9</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2,000.3</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3"/>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spacing w:after="0"/>
              <w:rPr>
                <w:sz w:val="21"/>
                <w:szCs w:val="21"/>
                <w:color w:val="auto"/>
              </w:rPr>
            </w:pPr>
          </w:p>
        </w:tc>
      </w:tr>
      <w:tr>
        <w:trPr>
          <w:trHeight w:val="228"/>
        </w:trPr>
        <w:tc>
          <w:tcPr>
            <w:tcW w:w="8000" w:type="dxa"/>
            <w:vAlign w:val="bottom"/>
          </w:tcPr>
          <w:p>
            <w:pPr>
              <w:ind w:left="240"/>
              <w:spacing w:after="0"/>
              <w:rPr>
                <w:sz w:val="20"/>
                <w:szCs w:val="20"/>
                <w:color w:val="auto"/>
              </w:rPr>
            </w:pPr>
            <w:r>
              <w:rPr>
                <w:rFonts w:ascii="Arial" w:cs="Arial" w:eastAsia="Arial" w:hAnsi="Arial"/>
                <w:sz w:val="16"/>
                <w:szCs w:val="16"/>
                <w:color w:val="auto"/>
              </w:rPr>
              <w:t>Equity consideration for business acquisitions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1440"/>
        <w:spacing w:after="0" w:line="298" w:lineRule="auto"/>
        <w:rPr>
          <w:sz w:val="20"/>
          <w:szCs w:val="20"/>
          <w:color w:val="auto"/>
        </w:rPr>
      </w:pPr>
      <w:r>
        <w:rPr>
          <w:rFonts w:ascii="Arial" w:cs="Arial" w:eastAsia="Arial" w:hAnsi="Arial"/>
          <w:sz w:val="47"/>
          <w:szCs w:val="47"/>
          <w:b w:val="1"/>
          <w:bCs w:val="1"/>
          <w:color w:val="auto"/>
        </w:rPr>
        <w:t>Notes to Condensed Consolidated Financial Statements (Unaudited)</w:t>
      </w:r>
    </w:p>
    <w:p>
      <w:pPr>
        <w:spacing w:after="0" w:line="276" w:lineRule="exact"/>
        <w:rPr>
          <w:sz w:val="20"/>
          <w:szCs w:val="20"/>
          <w:color w:val="auto"/>
        </w:rPr>
      </w:pPr>
    </w:p>
    <w:p>
      <w:pPr>
        <w:ind w:right="5420"/>
        <w:spacing w:after="0" w:line="396" w:lineRule="auto"/>
        <w:rPr>
          <w:sz w:val="20"/>
          <w:szCs w:val="20"/>
          <w:color w:val="auto"/>
        </w:rPr>
      </w:pPr>
      <w:r>
        <w:rPr>
          <w:rFonts w:ascii="Arial" w:cs="Arial" w:eastAsia="Arial" w:hAnsi="Arial"/>
          <w:sz w:val="16"/>
          <w:szCs w:val="16"/>
          <w:b w:val="1"/>
          <w:bCs w:val="1"/>
          <w:color w:val="auto"/>
        </w:rPr>
        <w:t xml:space="preserve">1. Description of Business and Summary of Significant Accounting Policies </w:t>
      </w:r>
      <w:r>
        <w:rPr>
          <w:rFonts w:ascii="Arial" w:cs="Arial" w:eastAsia="Arial" w:hAnsi="Arial"/>
          <w:sz w:val="16"/>
          <w:szCs w:val="16"/>
          <w:b w:val="1"/>
          <w:bCs w:val="1"/>
          <w:i w:val="1"/>
          <w:iCs w:val="1"/>
          <w:color w:val="auto"/>
        </w:rPr>
        <w:t>Description of Business</w:t>
      </w:r>
    </w:p>
    <w:p>
      <w:pPr>
        <w:ind w:right="240"/>
        <w:spacing w:after="0" w:line="266" w:lineRule="auto"/>
        <w:rPr>
          <w:sz w:val="20"/>
          <w:szCs w:val="20"/>
          <w:color w:val="auto"/>
        </w:rPr>
      </w:pPr>
      <w:r>
        <w:rPr>
          <w:rFonts w:ascii="Arial" w:cs="Arial" w:eastAsia="Arial" w:hAnsi="Arial"/>
          <w:sz w:val="16"/>
          <w:szCs w:val="16"/>
          <w:color w:val="auto"/>
        </w:rPr>
        <w:t>Palo Alto Networks, Inc. (the “Company,” “we,” “us,” or “our”), headquartered in Santa Clara, California, was incorporated in March 2005 under the laws of the State of Delaware and commenced operations in April 2005. We empower enterprises, organizations, service providers, and government entities to secure their users, networks, clouds, and endpoints by delivering comprehensive cybersecurity enabled by artificial intelligence and automation.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1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accompanying condensed consolidated financial statements have been prepared in conformity with U.S. generally accepted accounting principles (“U.S. GAAP”), consistent in all material respects with those applied in our Annual Report on Form 10-K for the fiscal year ended July 31, 2023, filed with the Securities and Exchange Commission (“SEC”) on September 1, 2023. The condensed consolidated financial statements include our accounts and our wholly owned subsidiaries. All significant intercompany balances and transactions have been eliminated in consolidation.</w:t>
      </w:r>
    </w:p>
    <w:p>
      <w:pPr>
        <w:spacing w:after="0" w:line="78"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The condensed consolidated financial statements are unaudited but include all adjustments of a normal recurring nature necessary for a fair presentation of our quarterly results. Our condensed consolidated financial statements should be read in conjunction with the audited consolidated financial statements and related notes in our Annual Report on Form 10-K for the fiscal year ended July 31, 2023.</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Reclassification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amounts in the condensed consolidated financial statements have been reclassified to conform to the current period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1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amounts reported and disclosed in the condensed consolidated financial statements and the accompanying notes. We base our estimates on assumptions, both historical and forward looking, that we believe are reasonable. Actual results could differ materially from those estimates due to risks and uncertainties, including uncertainty in the current economic environment.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111"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There have been no material changes to our significant accounting policies as of and for the nine months ended April 30, 2024, as compared to the significant accounting policies described in our Annual Report on Form 10-K for the fiscal year ended July 31, 2023.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Reporting</w:t>
      </w:r>
    </w:p>
    <w:p>
      <w:pPr>
        <w:spacing w:after="0" w:line="1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November 2023, the Financial Accounting Standards Board (“FASB”) issued authoritative guidance that expands annual and interim disclosure requirements for reportable segments, primarily through enhanced disclosures about significant segment expenses. The standard is effective for our annual periods beginning in fiscal 2025 and interim periods beginning in the first quarter of fiscal 2026, and requires retrospective application for all prior periods presented in the financial statements. Early adoption is permitted. We are currently evaluating the impact of this standard on our disclosures in the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Disclosures</w:t>
      </w:r>
    </w:p>
    <w:p>
      <w:pPr>
        <w:spacing w:after="0" w:line="11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December 2023, the FASB issued authoritative guidance that requires consistent categories and greater disaggregation of information in the effective tax rate reconciliation and additional disclosures of income taxes paid by jurisdiction. The standard is effective for our annual periods beginning in fiscal 2026 and could be applied either prospectively or retrospectively. Early adoption is permitted. We are currently evaluating the impact of this standard on our disclosures in the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revenue by geographic theater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380" w:type="dxa"/>
            <w:vAlign w:val="bottom"/>
          </w:tcPr>
          <w:p>
            <w:pPr>
              <w:spacing w:after="0"/>
              <w:rPr>
                <w:sz w:val="17"/>
                <w:szCs w:val="17"/>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April 30,</w:t>
            </w:r>
          </w:p>
        </w:tc>
        <w:tc>
          <w:tcPr>
            <w:tcW w:w="620" w:type="dxa"/>
            <w:vAlign w:val="bottom"/>
          </w:tcPr>
          <w:p>
            <w:pPr>
              <w:spacing w:after="0"/>
              <w:rPr>
                <w:sz w:val="17"/>
                <w:szCs w:val="17"/>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E3E3E3"/>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3E3E3"/>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E3E3E3"/>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470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spacing w:after="0"/>
              <w:rPr>
                <w:sz w:val="21"/>
                <w:szCs w:val="21"/>
                <w:color w:val="auto"/>
              </w:rPr>
            </w:pPr>
          </w:p>
        </w:tc>
      </w:tr>
      <w:tr>
        <w:trPr>
          <w:trHeight w:val="235"/>
        </w:trPr>
        <w:tc>
          <w:tcPr>
            <w:tcW w:w="4700" w:type="dxa"/>
            <w:vAlign w:val="bottom"/>
          </w:tcPr>
          <w:p>
            <w:pPr>
              <w:ind w:left="240"/>
              <w:spacing w:after="0"/>
              <w:rPr>
                <w:sz w:val="20"/>
                <w:szCs w:val="20"/>
                <w:color w:val="auto"/>
              </w:rPr>
            </w:pPr>
            <w:r>
              <w:rPr>
                <w:rFonts w:ascii="Arial" w:cs="Arial" w:eastAsia="Arial" w:hAnsi="Arial"/>
                <w:sz w:val="16"/>
                <w:szCs w:val="16"/>
                <w:color w:val="auto"/>
              </w:rPr>
              <w:t>Americas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1"/>
        </w:trPr>
        <w:tc>
          <w:tcPr>
            <w:tcW w:w="47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1,271.1</w:t>
            </w: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1,105.2</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3,723.6</w:t>
            </w: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w w:val="97"/>
              </w:rPr>
              <w:t>3,153.8</w:t>
            </w:r>
          </w:p>
        </w:tc>
      </w:tr>
      <w:tr>
        <w:trPr>
          <w:trHeight w:val="237"/>
        </w:trPr>
        <w:tc>
          <w:tcPr>
            <w:tcW w:w="4700" w:type="dxa"/>
            <w:vAlign w:val="bottom"/>
            <w:tcBorders>
              <w:bottom w:val="single" w:sz="8" w:color="E3E3E3"/>
            </w:tcBorders>
          </w:tcPr>
          <w:p>
            <w:pPr>
              <w:ind w:left="460"/>
              <w:spacing w:after="0"/>
              <w:rPr>
                <w:sz w:val="20"/>
                <w:szCs w:val="20"/>
                <w:color w:val="auto"/>
              </w:rPr>
            </w:pPr>
            <w:r>
              <w:rPr>
                <w:rFonts w:ascii="Arial" w:cs="Arial" w:eastAsia="Arial" w:hAnsi="Arial"/>
                <w:sz w:val="16"/>
                <w:szCs w:val="16"/>
                <w:color w:val="auto"/>
              </w:rPr>
              <w:t>Other Americas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E3E3E3"/>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256.8</w:t>
            </w:r>
          </w:p>
        </w:tc>
        <w:tc>
          <w:tcPr>
            <w:tcW w:w="100" w:type="dxa"/>
            <w:vAlign w:val="bottom"/>
            <w:tcBorders>
              <w:bottom w:val="single" w:sz="8" w:color="E3E3E3"/>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w:t>
            </w:r>
          </w:p>
        </w:tc>
      </w:tr>
      <w:tr>
        <w:trPr>
          <w:trHeight w:val="243"/>
        </w:trPr>
        <w:tc>
          <w:tcPr>
            <w:tcW w:w="47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Total Americas</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1,359.6</w:t>
            </w: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1,179.2</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3,980.4</w:t>
            </w: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w w:val="97"/>
              </w:rPr>
              <w:t>3,366.9</w:t>
            </w:r>
          </w:p>
        </w:tc>
      </w:tr>
      <w:tr>
        <w:trPr>
          <w:trHeight w:val="235"/>
        </w:trPr>
        <w:tc>
          <w:tcPr>
            <w:tcW w:w="4700" w:type="dxa"/>
            <w:vAlign w:val="bottom"/>
          </w:tcPr>
          <w:p>
            <w:pPr>
              <w:ind w:left="240"/>
              <w:spacing w:after="0"/>
              <w:rPr>
                <w:sz w:val="20"/>
                <w:szCs w:val="20"/>
                <w:color w:val="auto"/>
              </w:rPr>
            </w:pPr>
            <w:r>
              <w:rPr>
                <w:rFonts w:ascii="Arial" w:cs="Arial" w:eastAsia="Arial" w:hAnsi="Arial"/>
                <w:sz w:val="16"/>
                <w:szCs w:val="16"/>
                <w:color w:val="auto"/>
              </w:rPr>
              <w:t>Europe, the Middle East, and Africa (“EMEA”)</w:t>
            </w:r>
          </w:p>
        </w:tc>
        <w:tc>
          <w:tcPr>
            <w:tcW w:w="36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1,170.9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981.5</w:t>
            </w:r>
          </w:p>
        </w:tc>
      </w:tr>
      <w:tr>
        <w:trPr>
          <w:trHeight w:val="244"/>
        </w:trPr>
        <w:tc>
          <w:tcPr>
            <w:tcW w:w="47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Asia Pacific and Japan (“APAC”)</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226.0</w:t>
            </w:r>
          </w:p>
        </w:tc>
        <w:tc>
          <w:tcPr>
            <w:tcW w:w="100" w:type="dxa"/>
            <w:vAlign w:val="bottom"/>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209.6</w:t>
            </w:r>
          </w:p>
        </w:tc>
        <w:tc>
          <w:tcPr>
            <w:tcW w:w="10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686.7</w:t>
            </w:r>
          </w:p>
        </w:tc>
        <w:tc>
          <w:tcPr>
            <w:tcW w:w="100" w:type="dxa"/>
            <w:vAlign w:val="bottom"/>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591.0</w:t>
            </w:r>
          </w:p>
        </w:tc>
      </w:tr>
      <w:tr>
        <w:trPr>
          <w:trHeight w:val="243"/>
        </w:trPr>
        <w:tc>
          <w:tcPr>
            <w:tcW w:w="47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1,984.8</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1,720.9</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5,838.0</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4,939.4</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revenue for groups of similar products and services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380" w:type="dxa"/>
            <w:vAlign w:val="bottom"/>
          </w:tcPr>
          <w:p>
            <w:pPr>
              <w:spacing w:after="0"/>
              <w:rPr>
                <w:sz w:val="17"/>
                <w:szCs w:val="17"/>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April 30,</w:t>
            </w:r>
          </w:p>
        </w:tc>
        <w:tc>
          <w:tcPr>
            <w:tcW w:w="620" w:type="dxa"/>
            <w:vAlign w:val="bottom"/>
          </w:tcPr>
          <w:p>
            <w:pPr>
              <w:spacing w:after="0"/>
              <w:rPr>
                <w:sz w:val="17"/>
                <w:szCs w:val="17"/>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E3E3E3"/>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3E3E3"/>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E3E3E3"/>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470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spacing w:after="0"/>
              <w:rPr>
                <w:sz w:val="21"/>
                <w:szCs w:val="21"/>
                <w:color w:val="auto"/>
              </w:rPr>
            </w:pPr>
          </w:p>
        </w:tc>
      </w:tr>
      <w:tr>
        <w:trPr>
          <w:trHeight w:val="235"/>
        </w:trPr>
        <w:tc>
          <w:tcPr>
            <w:tcW w:w="4700" w:type="dxa"/>
            <w:vAlign w:val="bottom"/>
          </w:tcPr>
          <w:p>
            <w:pPr>
              <w:ind w:left="240"/>
              <w:spacing w:after="0"/>
              <w:rPr>
                <w:sz w:val="20"/>
                <w:szCs w:val="20"/>
                <w:color w:val="auto"/>
              </w:rPr>
            </w:pPr>
            <w:r>
              <w:rPr>
                <w:rFonts w:ascii="Arial" w:cs="Arial" w:eastAsia="Arial" w:hAnsi="Arial"/>
                <w:sz w:val="16"/>
                <w:szCs w:val="16"/>
                <w:color w:val="auto"/>
              </w:rPr>
              <w:t>Product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391.0</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1,122.8</w:t>
            </w:r>
          </w:p>
        </w:tc>
        <w:tc>
          <w:tcPr>
            <w:tcW w:w="100" w:type="dxa"/>
            <w:vAlign w:val="bottom"/>
          </w:tcPr>
          <w:p>
            <w:pPr>
              <w:spacing w:after="0"/>
              <w:rPr>
                <w:sz w:val="20"/>
                <w:szCs w:val="20"/>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97"/>
              </w:rPr>
              <w:t>1,071.0</w:t>
            </w:r>
          </w:p>
        </w:tc>
      </w:tr>
      <w:tr>
        <w:trPr>
          <w:trHeight w:val="251"/>
        </w:trPr>
        <w:tc>
          <w:tcPr>
            <w:tcW w:w="47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360" w:type="dxa"/>
            <w:vAlign w:val="bottom"/>
            <w:shd w:val="clear" w:color="auto" w:fill="E3E3E3"/>
          </w:tcPr>
          <w:p>
            <w:pPr>
              <w:spacing w:after="0"/>
              <w:rPr>
                <w:sz w:val="21"/>
                <w:szCs w:val="21"/>
                <w:color w:val="auto"/>
              </w:rPr>
            </w:pPr>
          </w:p>
        </w:tc>
        <w:tc>
          <w:tcPr>
            <w:tcW w:w="12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spacing w:after="0"/>
              <w:rPr>
                <w:sz w:val="21"/>
                <w:szCs w:val="21"/>
                <w:color w:val="auto"/>
              </w:rPr>
            </w:pPr>
          </w:p>
        </w:tc>
      </w:tr>
      <w:tr>
        <w:trPr>
          <w:trHeight w:val="235"/>
        </w:trPr>
        <w:tc>
          <w:tcPr>
            <w:tcW w:w="4700" w:type="dxa"/>
            <w:vAlign w:val="bottom"/>
          </w:tcPr>
          <w:p>
            <w:pPr>
              <w:ind w:left="460"/>
              <w:spacing w:after="0"/>
              <w:rPr>
                <w:sz w:val="20"/>
                <w:szCs w:val="20"/>
                <w:color w:val="auto"/>
              </w:rPr>
            </w:pPr>
            <w:r>
              <w:rPr>
                <w:rFonts w:ascii="Arial" w:cs="Arial" w:eastAsia="Arial" w:hAnsi="Arial"/>
                <w:sz w:val="16"/>
                <w:szCs w:val="16"/>
                <w:color w:val="auto"/>
              </w:rPr>
              <w:t>Subscription</w:t>
            </w:r>
          </w:p>
        </w:tc>
        <w:tc>
          <w:tcPr>
            <w:tcW w:w="36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1,045.6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838.1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3,061.0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97"/>
              </w:rPr>
              <w:t>2,417.5</w:t>
            </w:r>
          </w:p>
        </w:tc>
      </w:tr>
      <w:tr>
        <w:trPr>
          <w:trHeight w:val="244"/>
        </w:trPr>
        <w:tc>
          <w:tcPr>
            <w:tcW w:w="47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Support</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494.7</w:t>
            </w:r>
          </w:p>
        </w:tc>
        <w:tc>
          <w:tcPr>
            <w:tcW w:w="10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1,654.2</w:t>
            </w:r>
          </w:p>
        </w:tc>
        <w:tc>
          <w:tcPr>
            <w:tcW w:w="100" w:type="dxa"/>
            <w:vAlign w:val="bottom"/>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w w:val="97"/>
              </w:rPr>
              <w:t>1,450.9</w:t>
            </w:r>
          </w:p>
        </w:tc>
      </w:tr>
      <w:tr>
        <w:trPr>
          <w:trHeight w:val="237"/>
        </w:trPr>
        <w:tc>
          <w:tcPr>
            <w:tcW w:w="47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Total subscription and support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1,593.8</w:t>
            </w:r>
          </w:p>
        </w:tc>
        <w:tc>
          <w:tcPr>
            <w:tcW w:w="100" w:type="dxa"/>
            <w:vAlign w:val="bottom"/>
            <w:tcBorders>
              <w:bottom w:val="single" w:sz="8" w:color="E3E3E3"/>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1,332.8</w:t>
            </w: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4,715.2</w:t>
            </w:r>
          </w:p>
        </w:tc>
        <w:tc>
          <w:tcPr>
            <w:tcW w:w="100" w:type="dxa"/>
            <w:vAlign w:val="bottom"/>
            <w:tcBorders>
              <w:bottom w:val="single" w:sz="8" w:color="E3E3E3"/>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7"/>
              </w:rPr>
              <w:t>3,868.4</w:t>
            </w:r>
          </w:p>
        </w:tc>
      </w:tr>
      <w:tr>
        <w:trPr>
          <w:trHeight w:val="268"/>
        </w:trPr>
        <w:tc>
          <w:tcPr>
            <w:tcW w:w="470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shd w:val="clear" w:color="auto" w:fill="E3E3E3"/>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1,984.8</w:t>
            </w:r>
          </w:p>
        </w:tc>
        <w:tc>
          <w:tcPr>
            <w:tcW w:w="100" w:type="dxa"/>
            <w:vAlign w:val="bottom"/>
            <w:tcBorders>
              <w:bottom w:val="single" w:sz="8" w:color="E3E3E3"/>
            </w:tcBorders>
            <w:shd w:val="clear" w:color="auto" w:fill="E3E3E3"/>
          </w:tcPr>
          <w:p>
            <w:pPr>
              <w:spacing w:after="0"/>
              <w:rPr>
                <w:sz w:val="22"/>
                <w:szCs w:val="22"/>
                <w:color w:val="auto"/>
              </w:rPr>
            </w:pPr>
          </w:p>
        </w:tc>
        <w:tc>
          <w:tcPr>
            <w:tcW w:w="540" w:type="dxa"/>
            <w:vAlign w:val="bottom"/>
            <w:tcBorders>
              <w:bottom w:val="single" w:sz="8" w:color="auto"/>
            </w:tcBorders>
            <w:shd w:val="clear" w:color="auto" w:fill="E3E3E3"/>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1,720.9</w:t>
            </w:r>
          </w:p>
        </w:tc>
        <w:tc>
          <w:tcPr>
            <w:tcW w:w="10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5,838.0</w:t>
            </w:r>
          </w:p>
        </w:tc>
        <w:tc>
          <w:tcPr>
            <w:tcW w:w="100" w:type="dxa"/>
            <w:vAlign w:val="bottom"/>
            <w:tcBorders>
              <w:bottom w:val="single" w:sz="8" w:color="E3E3E3"/>
            </w:tcBorders>
            <w:shd w:val="clear" w:color="auto" w:fill="E3E3E3"/>
          </w:tcPr>
          <w:p>
            <w:pPr>
              <w:spacing w:after="0"/>
              <w:rPr>
                <w:sz w:val="22"/>
                <w:szCs w:val="22"/>
                <w:color w:val="auto"/>
              </w:rPr>
            </w:pPr>
          </w:p>
        </w:tc>
        <w:tc>
          <w:tcPr>
            <w:tcW w:w="940" w:type="dxa"/>
            <w:vAlign w:val="bottom"/>
            <w:tcBorders>
              <w:bottom w:val="single" w:sz="8" w:color="auto"/>
            </w:tcBorders>
            <w:shd w:val="clear" w:color="auto" w:fill="E3E3E3"/>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w w:val="97"/>
              </w:rPr>
              <w:t>4,939.4</w:t>
            </w:r>
          </w:p>
        </w:tc>
      </w:tr>
      <w:tr>
        <w:trPr>
          <w:trHeight w:val="20"/>
        </w:trPr>
        <w:tc>
          <w:tcPr>
            <w:tcW w:w="4700" w:type="dxa"/>
            <w:vAlign w:val="bottom"/>
            <w:tcBorders>
              <w:top w:val="single" w:sz="8" w:color="E3E3E3"/>
            </w:tcBorders>
          </w:tcPr>
          <w:p>
            <w:pPr>
              <w:spacing w:after="0" w:line="20" w:lineRule="exact"/>
              <w:rPr>
                <w:sz w:val="1"/>
                <w:szCs w:val="1"/>
                <w:color w:val="auto"/>
              </w:rPr>
            </w:pPr>
          </w:p>
        </w:tc>
        <w:tc>
          <w:tcPr>
            <w:tcW w:w="360" w:type="dxa"/>
            <w:vAlign w:val="bottom"/>
            <w:tcBorders>
              <w:top w:val="single" w:sz="8" w:color="E3E3E3"/>
              <w:bottom w:val="single" w:sz="8" w:color="auto"/>
            </w:tcBorders>
          </w:tcPr>
          <w:p>
            <w:pPr>
              <w:spacing w:after="0" w:line="20" w:lineRule="exact"/>
              <w:rPr>
                <w:sz w:val="1"/>
                <w:szCs w:val="1"/>
                <w:color w:val="auto"/>
              </w:rPr>
            </w:pPr>
          </w:p>
        </w:tc>
        <w:tc>
          <w:tcPr>
            <w:tcW w:w="120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540" w:type="dxa"/>
            <w:vAlign w:val="bottom"/>
            <w:tcBorders>
              <w:top w:val="single" w:sz="8" w:color="E3E3E3"/>
              <w:bottom w:val="single" w:sz="8" w:color="auto"/>
            </w:tcBorders>
          </w:tcPr>
          <w:p>
            <w:pPr>
              <w:spacing w:after="0" w:line="20" w:lineRule="exact"/>
              <w:rPr>
                <w:sz w:val="1"/>
                <w:szCs w:val="1"/>
                <w:color w:val="auto"/>
              </w:rPr>
            </w:pPr>
          </w:p>
        </w:tc>
        <w:tc>
          <w:tcPr>
            <w:tcW w:w="10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bottom w:val="single" w:sz="8" w:color="auto"/>
            </w:tcBorders>
          </w:tcPr>
          <w:p>
            <w:pPr>
              <w:spacing w:after="0" w:line="20" w:lineRule="exact"/>
              <w:rPr>
                <w:sz w:val="1"/>
                <w:szCs w:val="1"/>
                <w:color w:val="auto"/>
              </w:rPr>
            </w:pPr>
          </w:p>
        </w:tc>
        <w:tc>
          <w:tcPr>
            <w:tcW w:w="118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940" w:type="dxa"/>
            <w:vAlign w:val="bottom"/>
            <w:tcBorders>
              <w:top w:val="single" w:sz="8" w:color="E3E3E3"/>
              <w:bottom w:val="single" w:sz="8" w:color="auto"/>
            </w:tcBorders>
          </w:tcPr>
          <w:p>
            <w:pPr>
              <w:spacing w:after="0" w:line="20" w:lineRule="exact"/>
              <w:rPr>
                <w:sz w:val="1"/>
                <w:szCs w:val="1"/>
                <w:color w:val="auto"/>
              </w:rPr>
            </w:pPr>
          </w:p>
        </w:tc>
        <w:tc>
          <w:tcPr>
            <w:tcW w:w="620" w:type="dxa"/>
            <w:vAlign w:val="bottom"/>
            <w:tcBorders>
              <w:top w:val="single" w:sz="8" w:color="E3E3E3"/>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w:t>
      </w:r>
    </w:p>
    <w:p>
      <w:pPr>
        <w:spacing w:after="0" w:line="111"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During the nine months ended April 30, 2024 and 2023, we recognized approximately $3.7 billion and $2.9 billion of revenue pertaining to amounts that were deferred as of July 31, 2023 and 2022,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1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Remaining performance obligations were $11.3 billion as of April 30, 2024, of which we expect to recognize as revenue approximately $5.4 billion over the next 12 months and the remainder thereafter.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financial assets and liabilities measured at fair value on a recurring basis as of April 30, 2024 and July 31, 2023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April 30, 2024</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July 31, 2023</w:t>
            </w:r>
          </w:p>
        </w:tc>
        <w:tc>
          <w:tcPr>
            <w:tcW w:w="660" w:type="dxa"/>
            <w:vAlign w:val="bottom"/>
            <w:tcBorders>
              <w:bottom w:val="single" w:sz="8" w:color="auto"/>
            </w:tcBorders>
          </w:tcPr>
          <w:p>
            <w:pPr>
              <w:spacing w:after="0"/>
              <w:rPr>
                <w:sz w:val="17"/>
                <w:szCs w:val="17"/>
                <w:color w:val="auto"/>
              </w:rPr>
            </w:pPr>
          </w:p>
        </w:tc>
      </w:tr>
      <w:tr>
        <w:trPr>
          <w:trHeight w:val="223"/>
        </w:trPr>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2</w:t>
            </w: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rPr>
              <w:t>Level 3</w:t>
            </w:r>
          </w:p>
        </w:tc>
        <w:tc>
          <w:tcPr>
            <w:tcW w:w="76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Level 2</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3</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41"/>
        </w:trPr>
        <w:tc>
          <w:tcPr>
            <w:tcW w:w="33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r>
      <w:tr>
        <w:trPr>
          <w:trHeight w:val="243"/>
        </w:trPr>
        <w:tc>
          <w:tcPr>
            <w:tcW w:w="3320" w:type="dxa"/>
            <w:vAlign w:val="bottom"/>
            <w:shd w:val="clear" w:color="auto" w:fill="E3E3E3"/>
          </w:tcPr>
          <w:p>
            <w:pPr>
              <w:ind w:left="20"/>
              <w:spacing w:after="0"/>
              <w:rPr>
                <w:sz w:val="20"/>
                <w:szCs w:val="20"/>
                <w:color w:val="auto"/>
              </w:rPr>
            </w:pPr>
            <w:r>
              <w:rPr>
                <w:rFonts w:ascii="Arial" w:cs="Arial" w:eastAsia="Arial" w:hAnsi="Arial"/>
                <w:sz w:val="16"/>
                <w:szCs w:val="16"/>
                <w:color w:val="auto"/>
              </w:rPr>
              <w:t>Cash equivalents:</w:t>
            </w: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7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r>
      <w:tr>
        <w:trPr>
          <w:trHeight w:val="235"/>
        </w:trPr>
        <w:tc>
          <w:tcPr>
            <w:tcW w:w="3320" w:type="dxa"/>
            <w:vAlign w:val="bottom"/>
          </w:tcPr>
          <w:p>
            <w:pPr>
              <w:ind w:left="24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763.9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ind w:left="400"/>
              <w:spacing w:after="0"/>
              <w:rPr>
                <w:sz w:val="20"/>
                <w:szCs w:val="20"/>
                <w:color w:val="auto"/>
              </w:rPr>
            </w:pPr>
            <w:r>
              <w:rPr>
                <w:rFonts w:ascii="Arial" w:cs="Arial" w:eastAsia="Arial" w:hAnsi="Arial"/>
                <w:sz w:val="16"/>
                <w:szCs w:val="16"/>
                <w:color w:val="auto"/>
              </w:rPr>
              <w:t>—  $</w:t>
            </w:r>
          </w:p>
        </w:tc>
        <w:tc>
          <w:tcPr>
            <w:tcW w:w="1120" w:type="dxa"/>
            <w:vAlign w:val="bottom"/>
            <w:gridSpan w:val="3"/>
          </w:tcPr>
          <w:p>
            <w:pPr>
              <w:ind w:left="500"/>
              <w:spacing w:after="0"/>
              <w:rPr>
                <w:sz w:val="20"/>
                <w:szCs w:val="20"/>
                <w:color w:val="auto"/>
              </w:rPr>
            </w:pPr>
            <w:r>
              <w:rPr>
                <w:rFonts w:ascii="Arial" w:cs="Arial" w:eastAsia="Arial" w:hAnsi="Arial"/>
                <w:sz w:val="16"/>
                <w:szCs w:val="16"/>
                <w:color w:val="auto"/>
              </w:rPr>
              <w:t>—  $</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763.9</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3"/>
          </w:tcPr>
          <w:p>
            <w:pPr>
              <w:ind w:left="400"/>
              <w:spacing w:after="0"/>
              <w:rPr>
                <w:sz w:val="20"/>
                <w:szCs w:val="20"/>
                <w:color w:val="auto"/>
              </w:rPr>
            </w:pPr>
            <w:r>
              <w:rPr>
                <w:rFonts w:ascii="Arial" w:cs="Arial" w:eastAsia="Arial" w:hAnsi="Arial"/>
                <w:sz w:val="16"/>
                <w:szCs w:val="16"/>
                <w:color w:val="auto"/>
              </w:rPr>
              <w:t>—  $</w:t>
            </w:r>
          </w:p>
        </w:tc>
        <w:tc>
          <w:tcPr>
            <w:tcW w:w="1020" w:type="dxa"/>
            <w:vAlign w:val="bottom"/>
            <w:gridSpan w:val="3"/>
          </w:tcPr>
          <w:p>
            <w:pPr>
              <w:ind w:left="400"/>
              <w:spacing w:after="0"/>
              <w:rPr>
                <w:sz w:val="20"/>
                <w:szCs w:val="20"/>
                <w:color w:val="auto"/>
              </w:rPr>
            </w:pPr>
            <w:r>
              <w:rPr>
                <w:rFonts w:ascii="Arial" w:cs="Arial" w:eastAsia="Arial" w:hAnsi="Arial"/>
                <w:sz w:val="16"/>
                <w:szCs w:val="16"/>
                <w:color w:val="auto"/>
              </w:rPr>
              <w:t>—  $</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476.1</w:t>
            </w:r>
          </w:p>
        </w:tc>
      </w:tr>
      <w:tr>
        <w:trPr>
          <w:trHeight w:val="244"/>
        </w:trPr>
        <w:tc>
          <w:tcPr>
            <w:tcW w:w="33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2.5</w:t>
            </w:r>
          </w:p>
        </w:tc>
        <w:tc>
          <w:tcPr>
            <w:tcW w:w="100" w:type="dxa"/>
            <w:vAlign w:val="bottom"/>
            <w:shd w:val="clear" w:color="auto" w:fill="E3E3E3"/>
          </w:tcPr>
          <w:p>
            <w:pPr>
              <w:spacing w:after="0"/>
              <w:rPr>
                <w:sz w:val="21"/>
                <w:szCs w:val="21"/>
                <w:color w:val="auto"/>
              </w:rPr>
            </w:pPr>
          </w:p>
        </w:tc>
        <w:tc>
          <w:tcPr>
            <w:tcW w:w="140" w:type="dxa"/>
            <w:vAlign w:val="bottom"/>
            <w:tcBorders>
              <w:bottom w:val="single" w:sz="8" w:color="auto"/>
            </w:tcBorders>
            <w:shd w:val="clear" w:color="auto" w:fill="E3E3E3"/>
          </w:tcPr>
          <w:p>
            <w:pPr>
              <w:spacing w:after="0"/>
              <w:rPr>
                <w:sz w:val="21"/>
                <w:szCs w:val="21"/>
                <w:color w:val="auto"/>
              </w:rPr>
            </w:pPr>
          </w:p>
        </w:tc>
        <w:tc>
          <w:tcPr>
            <w:tcW w:w="740" w:type="dxa"/>
            <w:vAlign w:val="bottom"/>
            <w:tcBorders>
              <w:bottom w:val="single" w:sz="8" w:color="auto"/>
            </w:tcBorders>
            <w:shd w:val="clear" w:color="auto" w:fill="E3E3E3"/>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8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E3E3E3"/>
          </w:tcPr>
          <w:p>
            <w:pPr>
              <w:spacing w:after="0"/>
              <w:rPr>
                <w:sz w:val="21"/>
                <w:szCs w:val="21"/>
                <w:color w:val="auto"/>
              </w:rPr>
            </w:pPr>
          </w:p>
        </w:tc>
        <w:tc>
          <w:tcPr>
            <w:tcW w:w="26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6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center"/>
              <w:ind w:left="3"/>
              <w:spacing w:after="0"/>
              <w:rPr>
                <w:sz w:val="20"/>
                <w:szCs w:val="20"/>
                <w:color w:val="auto"/>
              </w:rPr>
            </w:pPr>
            <w:r>
              <w:rPr>
                <w:rFonts w:ascii="Arial" w:cs="Arial" w:eastAsia="Arial" w:hAnsi="Arial"/>
                <w:sz w:val="16"/>
                <w:szCs w:val="16"/>
                <w:color w:val="auto"/>
                <w:w w:val="99"/>
              </w:rPr>
              <w:t>151.4</w:t>
            </w:r>
          </w:p>
        </w:tc>
        <w:tc>
          <w:tcPr>
            <w:tcW w:w="10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8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151.4</w:t>
            </w:r>
          </w:p>
        </w:tc>
      </w:tr>
      <w:tr>
        <w:trPr>
          <w:trHeight w:val="228"/>
        </w:trPr>
        <w:tc>
          <w:tcPr>
            <w:tcW w:w="3320" w:type="dxa"/>
            <w:vAlign w:val="bottom"/>
          </w:tcPr>
          <w:p>
            <w:pPr>
              <w:ind w:left="460"/>
              <w:spacing w:after="0"/>
              <w:rPr>
                <w:sz w:val="20"/>
                <w:szCs w:val="20"/>
                <w:color w:val="auto"/>
              </w:rPr>
            </w:pPr>
            <w:r>
              <w:rPr>
                <w:rFonts w:ascii="Arial" w:cs="Arial" w:eastAsia="Arial" w:hAnsi="Arial"/>
                <w:sz w:val="16"/>
                <w:szCs w:val="16"/>
                <w:color w:val="auto"/>
              </w:rPr>
              <w:t>Total cash equivalents</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ind w:left="5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ind w:left="3"/>
              <w:spacing w:after="0"/>
              <w:rPr>
                <w:sz w:val="20"/>
                <w:szCs w:val="20"/>
                <w:color w:val="auto"/>
              </w:rPr>
            </w:pPr>
            <w:r>
              <w:rPr>
                <w:rFonts w:ascii="Arial" w:cs="Arial" w:eastAsia="Arial" w:hAnsi="Arial"/>
                <w:sz w:val="16"/>
                <w:szCs w:val="16"/>
                <w:color w:val="auto"/>
                <w:w w:val="99"/>
              </w:rPr>
              <w:t>151.4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627.5</w:t>
            </w:r>
          </w:p>
        </w:tc>
      </w:tr>
      <w:tr>
        <w:trPr>
          <w:trHeight w:val="756"/>
        </w:trPr>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41"/>
              <w:spacing w:after="0"/>
              <w:rPr>
                <w:sz w:val="20"/>
                <w:szCs w:val="20"/>
                <w:color w:val="auto"/>
              </w:rPr>
            </w:pPr>
            <w:r>
              <w:rPr>
                <w:rFonts w:ascii="Arial" w:cs="Arial" w:eastAsia="Arial" w:hAnsi="Arial"/>
                <w:sz w:val="16"/>
                <w:szCs w:val="16"/>
                <w:color w:val="auto"/>
              </w:rPr>
              <w:t>- 9 -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5"/>
        </w:trPr>
        <w:tc>
          <w:tcPr>
            <w:tcW w:w="33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April 30, 2024</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July 31, 2023</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23"/>
        </w:trPr>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9"/>
                <w:szCs w:val="19"/>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9"/>
                <w:szCs w:val="19"/>
                <w:color w:val="auto"/>
              </w:rPr>
            </w:pPr>
          </w:p>
        </w:tc>
        <w:tc>
          <w:tcPr>
            <w:tcW w:w="84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9"/>
                <w:szCs w:val="19"/>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9"/>
                <w:szCs w:val="19"/>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40"/>
        </w:trPr>
        <w:tc>
          <w:tcPr>
            <w:tcW w:w="33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r>
      <w:tr>
        <w:trPr>
          <w:trHeight w:val="243"/>
        </w:trPr>
        <w:tc>
          <w:tcPr>
            <w:tcW w:w="3300" w:type="dxa"/>
            <w:vAlign w:val="bottom"/>
            <w:shd w:val="clear" w:color="auto" w:fill="E3E3E3"/>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r>
      <w:tr>
        <w:trPr>
          <w:trHeight w:val="235"/>
        </w:trPr>
        <w:tc>
          <w:tcPr>
            <w:tcW w:w="3300" w:type="dxa"/>
            <w:vAlign w:val="bottom"/>
          </w:tcPr>
          <w:p>
            <w:pPr>
              <w:ind w:left="240"/>
              <w:spacing w:after="0"/>
              <w:rPr>
                <w:sz w:val="20"/>
                <w:szCs w:val="20"/>
                <w:color w:val="auto"/>
              </w:rPr>
            </w:pPr>
            <w:r>
              <w:rPr>
                <w:rFonts w:ascii="Arial" w:cs="Arial" w:eastAsia="Arial" w:hAnsi="Arial"/>
                <w:sz w:val="16"/>
                <w:szCs w:val="16"/>
                <w:color w:val="auto"/>
              </w:rPr>
              <w:t>Certificates of deposit</w:t>
            </w:r>
          </w:p>
        </w:tc>
        <w:tc>
          <w:tcPr>
            <w:tcW w:w="2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51"/>
        </w:trPr>
        <w:tc>
          <w:tcPr>
            <w:tcW w:w="3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170.9</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213.8</w:t>
            </w:r>
          </w:p>
        </w:tc>
      </w:tr>
      <w:tr>
        <w:trPr>
          <w:trHeight w:val="235"/>
        </w:trPr>
        <w:tc>
          <w:tcPr>
            <w:tcW w:w="330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798.0</w:t>
            </w:r>
          </w:p>
        </w:tc>
      </w:tr>
      <w:tr>
        <w:trPr>
          <w:trHeight w:val="251"/>
        </w:trPr>
        <w:tc>
          <w:tcPr>
            <w:tcW w:w="3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190.6</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190.6</w:t>
            </w:r>
          </w:p>
        </w:tc>
      </w:tr>
      <w:tr>
        <w:trPr>
          <w:trHeight w:val="202"/>
        </w:trPr>
        <w:tc>
          <w:tcPr>
            <w:tcW w:w="3300" w:type="dxa"/>
            <w:vAlign w:val="bottom"/>
          </w:tcPr>
          <w:p>
            <w:pPr>
              <w:ind w:left="240"/>
              <w:spacing w:after="0"/>
              <w:rPr>
                <w:sz w:val="20"/>
                <w:szCs w:val="20"/>
                <w:color w:val="auto"/>
              </w:rPr>
            </w:pPr>
            <w:r>
              <w:rPr>
                <w:rFonts w:ascii="Arial" w:cs="Arial" w:eastAsia="Arial" w:hAnsi="Arial"/>
                <w:sz w:val="16"/>
                <w:szCs w:val="16"/>
                <w:color w:val="auto"/>
              </w:rPr>
              <w:t>Non-U.S. government and agency</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6"/>
        </w:trPr>
        <w:tc>
          <w:tcPr>
            <w:tcW w:w="3300" w:type="dxa"/>
            <w:vAlign w:val="bottom"/>
          </w:tcPr>
          <w:p>
            <w:pPr>
              <w:ind w:left="240"/>
              <w:spacing w:after="0"/>
              <w:rPr>
                <w:sz w:val="20"/>
                <w:szCs w:val="20"/>
                <w:color w:val="auto"/>
              </w:rPr>
            </w:pPr>
            <w:r>
              <w:rPr>
                <w:rFonts w:ascii="Arial" w:cs="Arial" w:eastAsia="Arial" w:hAnsi="Arial"/>
                <w:sz w:val="16"/>
                <w:szCs w:val="16"/>
                <w:color w:val="auto"/>
              </w:rPr>
              <w:t>securities</w:t>
            </w:r>
          </w:p>
        </w:tc>
        <w:tc>
          <w:tcPr>
            <w:tcW w:w="2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3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Asset-backed securities</w:t>
            </w: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4.2</w:t>
            </w:r>
          </w:p>
        </w:tc>
      </w:tr>
      <w:tr>
        <w:trPr>
          <w:trHeight w:val="235"/>
        </w:trPr>
        <w:tc>
          <w:tcPr>
            <w:tcW w:w="3300" w:type="dxa"/>
            <w:vAlign w:val="bottom"/>
          </w:tcPr>
          <w:p>
            <w:pPr>
              <w:ind w:left="460"/>
              <w:spacing w:after="0"/>
              <w:rPr>
                <w:sz w:val="20"/>
                <w:szCs w:val="20"/>
                <w:color w:val="auto"/>
              </w:rPr>
            </w:pPr>
            <w:r>
              <w:rPr>
                <w:rFonts w:ascii="Arial" w:cs="Arial" w:eastAsia="Arial" w:hAnsi="Arial"/>
                <w:sz w:val="16"/>
                <w:szCs w:val="16"/>
                <w:color w:val="auto"/>
              </w:rPr>
              <w:t>Total short-term investments</w:t>
            </w:r>
          </w:p>
        </w:tc>
        <w:tc>
          <w:tcPr>
            <w:tcW w:w="2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1,254.7</w:t>
            </w:r>
          </w:p>
        </w:tc>
      </w:tr>
      <w:tr>
        <w:trPr>
          <w:trHeight w:val="251"/>
        </w:trPr>
        <w:tc>
          <w:tcPr>
            <w:tcW w:w="3300" w:type="dxa"/>
            <w:vAlign w:val="bottom"/>
            <w:shd w:val="clear" w:color="auto" w:fill="E3E3E3"/>
          </w:tcPr>
          <w:p>
            <w:pPr>
              <w:ind w:left="20"/>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r>
      <w:tr>
        <w:trPr>
          <w:trHeight w:val="235"/>
        </w:trPr>
        <w:tc>
          <w:tcPr>
            <w:tcW w:w="3300" w:type="dxa"/>
            <w:vAlign w:val="bottom"/>
          </w:tcPr>
          <w:p>
            <w:pPr>
              <w:ind w:left="24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2,484.3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2,484.3</w:t>
            </w:r>
          </w:p>
        </w:tc>
      </w:tr>
      <w:tr>
        <w:trPr>
          <w:trHeight w:val="251"/>
        </w:trPr>
        <w:tc>
          <w:tcPr>
            <w:tcW w:w="3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U.S. government and agency securities</w:t>
            </w: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22.0</w:t>
            </w:r>
          </w:p>
        </w:tc>
      </w:tr>
      <w:tr>
        <w:trPr>
          <w:trHeight w:val="202"/>
        </w:trPr>
        <w:tc>
          <w:tcPr>
            <w:tcW w:w="3300" w:type="dxa"/>
            <w:vAlign w:val="bottom"/>
          </w:tcPr>
          <w:p>
            <w:pPr>
              <w:ind w:left="240"/>
              <w:spacing w:after="0"/>
              <w:rPr>
                <w:sz w:val="20"/>
                <w:szCs w:val="20"/>
                <w:color w:val="auto"/>
              </w:rPr>
            </w:pPr>
            <w:r>
              <w:rPr>
                <w:rFonts w:ascii="Arial" w:cs="Arial" w:eastAsia="Arial" w:hAnsi="Arial"/>
                <w:sz w:val="16"/>
                <w:szCs w:val="16"/>
                <w:color w:val="auto"/>
              </w:rPr>
              <w:t>Non-U.S. government and agency</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6"/>
        </w:trPr>
        <w:tc>
          <w:tcPr>
            <w:tcW w:w="3300" w:type="dxa"/>
            <w:vAlign w:val="bottom"/>
          </w:tcPr>
          <w:p>
            <w:pPr>
              <w:ind w:left="240"/>
              <w:spacing w:after="0"/>
              <w:rPr>
                <w:sz w:val="20"/>
                <w:szCs w:val="20"/>
                <w:color w:val="auto"/>
              </w:rPr>
            </w:pPr>
            <w:r>
              <w:rPr>
                <w:rFonts w:ascii="Arial" w:cs="Arial" w:eastAsia="Arial" w:hAnsi="Arial"/>
                <w:sz w:val="16"/>
                <w:szCs w:val="16"/>
                <w:color w:val="auto"/>
              </w:rPr>
              <w:t>securities</w:t>
            </w:r>
          </w:p>
        </w:tc>
        <w:tc>
          <w:tcPr>
            <w:tcW w:w="2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44"/>
        </w:trPr>
        <w:tc>
          <w:tcPr>
            <w:tcW w:w="3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Asset-backed securities</w:t>
            </w: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875.3</w:t>
            </w:r>
          </w:p>
        </w:tc>
        <w:tc>
          <w:tcPr>
            <w:tcW w:w="10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875.3</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505.0</w:t>
            </w:r>
          </w:p>
        </w:tc>
        <w:tc>
          <w:tcPr>
            <w:tcW w:w="10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505.0</w:t>
            </w:r>
          </w:p>
        </w:tc>
      </w:tr>
      <w:tr>
        <w:trPr>
          <w:trHeight w:val="235"/>
        </w:trPr>
        <w:tc>
          <w:tcPr>
            <w:tcW w:w="3300" w:type="dxa"/>
            <w:vAlign w:val="bottom"/>
          </w:tcPr>
          <w:p>
            <w:pPr>
              <w:ind w:left="460"/>
              <w:spacing w:after="0"/>
              <w:rPr>
                <w:sz w:val="20"/>
                <w:szCs w:val="20"/>
                <w:color w:val="auto"/>
              </w:rPr>
            </w:pPr>
            <w:r>
              <w:rPr>
                <w:rFonts w:ascii="Arial" w:cs="Arial" w:eastAsia="Arial" w:hAnsi="Arial"/>
                <w:sz w:val="16"/>
                <w:szCs w:val="16"/>
                <w:color w:val="auto"/>
              </w:rPr>
              <w:t>Total long-term investments</w:t>
            </w:r>
          </w:p>
        </w:tc>
        <w:tc>
          <w:tcPr>
            <w:tcW w:w="2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3,504.4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3,047.9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3,047.9</w:t>
            </w:r>
          </w:p>
        </w:tc>
      </w:tr>
      <w:tr>
        <w:trPr>
          <w:trHeight w:val="251"/>
        </w:trPr>
        <w:tc>
          <w:tcPr>
            <w:tcW w:w="330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r>
      <w:tr>
        <w:trPr>
          <w:trHeight w:val="237"/>
        </w:trPr>
        <w:tc>
          <w:tcPr>
            <w:tcW w:w="3300" w:type="dxa"/>
            <w:vAlign w:val="bottom"/>
          </w:tcPr>
          <w:p>
            <w:pPr>
              <w:ind w:left="240"/>
              <w:spacing w:after="0"/>
              <w:rPr>
                <w:sz w:val="20"/>
                <w:szCs w:val="20"/>
                <w:color w:val="auto"/>
              </w:rPr>
            </w:pPr>
            <w:r>
              <w:rPr>
                <w:rFonts w:ascii="Arial" w:cs="Arial" w:eastAsia="Arial" w:hAnsi="Arial"/>
                <w:sz w:val="16"/>
                <w:szCs w:val="16"/>
                <w:color w:val="auto"/>
              </w:rPr>
              <w:t>Foreign currency forward contracts</w:t>
            </w:r>
          </w:p>
        </w:tc>
        <w:tc>
          <w:tcPr>
            <w:tcW w:w="2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188"/>
        </w:trPr>
        <w:tc>
          <w:tcPr>
            <w:tcW w:w="3300" w:type="dxa"/>
            <w:vAlign w:val="bottom"/>
            <w:tcBorders>
              <w:top w:val="single" w:sz="8" w:color="E3E3E3"/>
            </w:tcBorders>
            <w:shd w:val="clear" w:color="auto" w:fill="E3E3E3"/>
          </w:tcPr>
          <w:p>
            <w:pPr>
              <w:ind w:left="460"/>
              <w:spacing w:after="0"/>
              <w:rPr>
                <w:sz w:val="20"/>
                <w:szCs w:val="20"/>
                <w:color w:val="auto"/>
              </w:rPr>
            </w:pPr>
            <w:r>
              <w:rPr>
                <w:rFonts w:ascii="Arial" w:cs="Arial" w:eastAsia="Arial" w:hAnsi="Arial"/>
                <w:sz w:val="16"/>
                <w:szCs w:val="16"/>
                <w:color w:val="auto"/>
              </w:rPr>
              <w:t>Total prepaid expenses and other</w:t>
            </w:r>
          </w:p>
        </w:tc>
        <w:tc>
          <w:tcPr>
            <w:tcW w:w="240" w:type="dxa"/>
            <w:vAlign w:val="bottom"/>
            <w:tcBorders>
              <w:top w:val="single" w:sz="8" w:color="auto"/>
            </w:tcBorders>
            <w:shd w:val="clear" w:color="auto" w:fill="E3E3E3"/>
          </w:tcPr>
          <w:p>
            <w:pPr>
              <w:spacing w:after="0"/>
              <w:rPr>
                <w:sz w:val="16"/>
                <w:szCs w:val="16"/>
                <w:color w:val="auto"/>
              </w:rPr>
            </w:pPr>
          </w:p>
        </w:tc>
        <w:tc>
          <w:tcPr>
            <w:tcW w:w="640" w:type="dxa"/>
            <w:vAlign w:val="bottom"/>
            <w:tcBorders>
              <w:top w:val="single" w:sz="8" w:color="auto"/>
            </w:tcBorders>
            <w:shd w:val="clear" w:color="auto" w:fill="E3E3E3"/>
          </w:tcPr>
          <w:p>
            <w:pPr>
              <w:spacing w:after="0"/>
              <w:rPr>
                <w:sz w:val="16"/>
                <w:szCs w:val="16"/>
                <w:color w:val="auto"/>
              </w:rPr>
            </w:pPr>
          </w:p>
        </w:tc>
        <w:tc>
          <w:tcPr>
            <w:tcW w:w="100" w:type="dxa"/>
            <w:vAlign w:val="bottom"/>
            <w:tcBorders>
              <w:top w:val="single" w:sz="8" w:color="E3E3E3"/>
            </w:tcBorders>
            <w:shd w:val="clear" w:color="auto" w:fill="E3E3E3"/>
          </w:tcPr>
          <w:p>
            <w:pPr>
              <w:spacing w:after="0"/>
              <w:rPr>
                <w:sz w:val="16"/>
                <w:szCs w:val="16"/>
                <w:color w:val="auto"/>
              </w:rPr>
            </w:pPr>
          </w:p>
        </w:tc>
        <w:tc>
          <w:tcPr>
            <w:tcW w:w="200" w:type="dxa"/>
            <w:vAlign w:val="bottom"/>
            <w:tcBorders>
              <w:top w:val="single" w:sz="8" w:color="auto"/>
            </w:tcBorders>
            <w:shd w:val="clear" w:color="auto" w:fill="E3E3E3"/>
          </w:tcPr>
          <w:p>
            <w:pPr>
              <w:spacing w:after="0"/>
              <w:rPr>
                <w:sz w:val="16"/>
                <w:szCs w:val="16"/>
                <w:color w:val="auto"/>
              </w:rPr>
            </w:pPr>
          </w:p>
        </w:tc>
        <w:tc>
          <w:tcPr>
            <w:tcW w:w="700" w:type="dxa"/>
            <w:vAlign w:val="bottom"/>
            <w:tcBorders>
              <w:top w:val="single" w:sz="8" w:color="auto"/>
            </w:tcBorders>
            <w:shd w:val="clear" w:color="auto" w:fill="E3E3E3"/>
          </w:tcPr>
          <w:p>
            <w:pPr>
              <w:spacing w:after="0"/>
              <w:rPr>
                <w:sz w:val="16"/>
                <w:szCs w:val="16"/>
                <w:color w:val="auto"/>
              </w:rPr>
            </w:pPr>
          </w:p>
        </w:tc>
        <w:tc>
          <w:tcPr>
            <w:tcW w:w="100" w:type="dxa"/>
            <w:vAlign w:val="bottom"/>
            <w:tcBorders>
              <w:top w:val="single" w:sz="8" w:color="E3E3E3"/>
            </w:tcBorders>
            <w:shd w:val="clear" w:color="auto" w:fill="E3E3E3"/>
          </w:tcPr>
          <w:p>
            <w:pPr>
              <w:spacing w:after="0"/>
              <w:rPr>
                <w:sz w:val="16"/>
                <w:szCs w:val="16"/>
                <w:color w:val="auto"/>
              </w:rPr>
            </w:pPr>
          </w:p>
        </w:tc>
        <w:tc>
          <w:tcPr>
            <w:tcW w:w="240" w:type="dxa"/>
            <w:vAlign w:val="bottom"/>
            <w:tcBorders>
              <w:top w:val="single" w:sz="8" w:color="auto"/>
            </w:tcBorders>
            <w:shd w:val="clear" w:color="auto" w:fill="E3E3E3"/>
          </w:tcPr>
          <w:p>
            <w:pPr>
              <w:spacing w:after="0"/>
              <w:rPr>
                <w:sz w:val="16"/>
                <w:szCs w:val="16"/>
                <w:color w:val="auto"/>
              </w:rPr>
            </w:pPr>
          </w:p>
        </w:tc>
        <w:tc>
          <w:tcPr>
            <w:tcW w:w="640" w:type="dxa"/>
            <w:vAlign w:val="bottom"/>
            <w:tcBorders>
              <w:top w:val="single" w:sz="8" w:color="auto"/>
            </w:tcBorders>
            <w:shd w:val="clear" w:color="auto" w:fill="E3E3E3"/>
          </w:tcPr>
          <w:p>
            <w:pPr>
              <w:spacing w:after="0"/>
              <w:rPr>
                <w:sz w:val="16"/>
                <w:szCs w:val="16"/>
                <w:color w:val="auto"/>
              </w:rPr>
            </w:pPr>
          </w:p>
        </w:tc>
        <w:tc>
          <w:tcPr>
            <w:tcW w:w="120" w:type="dxa"/>
            <w:vAlign w:val="bottom"/>
            <w:tcBorders>
              <w:top w:val="single" w:sz="8" w:color="E3E3E3"/>
            </w:tcBorders>
            <w:shd w:val="clear" w:color="auto" w:fill="E3E3E3"/>
          </w:tcPr>
          <w:p>
            <w:pPr>
              <w:spacing w:after="0"/>
              <w:rPr>
                <w:sz w:val="16"/>
                <w:szCs w:val="16"/>
                <w:color w:val="auto"/>
              </w:rPr>
            </w:pPr>
          </w:p>
        </w:tc>
        <w:tc>
          <w:tcPr>
            <w:tcW w:w="200" w:type="dxa"/>
            <w:vAlign w:val="bottom"/>
            <w:tcBorders>
              <w:top w:val="single" w:sz="8" w:color="auto"/>
            </w:tcBorders>
            <w:shd w:val="clear" w:color="auto" w:fill="E3E3E3"/>
          </w:tcPr>
          <w:p>
            <w:pPr>
              <w:spacing w:after="0"/>
              <w:rPr>
                <w:sz w:val="16"/>
                <w:szCs w:val="16"/>
                <w:color w:val="auto"/>
              </w:rPr>
            </w:pPr>
          </w:p>
        </w:tc>
        <w:tc>
          <w:tcPr>
            <w:tcW w:w="720" w:type="dxa"/>
            <w:vAlign w:val="bottom"/>
            <w:tcBorders>
              <w:top w:val="single" w:sz="8" w:color="auto"/>
            </w:tcBorders>
            <w:shd w:val="clear" w:color="auto" w:fill="E3E3E3"/>
          </w:tcPr>
          <w:p>
            <w:pPr>
              <w:spacing w:after="0"/>
              <w:rPr>
                <w:sz w:val="16"/>
                <w:szCs w:val="16"/>
                <w:color w:val="auto"/>
              </w:rPr>
            </w:pPr>
          </w:p>
        </w:tc>
        <w:tc>
          <w:tcPr>
            <w:tcW w:w="120" w:type="dxa"/>
            <w:vAlign w:val="bottom"/>
            <w:tcBorders>
              <w:top w:val="single" w:sz="8" w:color="E3E3E3"/>
            </w:tcBorders>
            <w:shd w:val="clear" w:color="auto" w:fill="E3E3E3"/>
          </w:tcPr>
          <w:p>
            <w:pPr>
              <w:spacing w:after="0"/>
              <w:rPr>
                <w:sz w:val="16"/>
                <w:szCs w:val="16"/>
                <w:color w:val="auto"/>
              </w:rPr>
            </w:pPr>
          </w:p>
        </w:tc>
        <w:tc>
          <w:tcPr>
            <w:tcW w:w="240" w:type="dxa"/>
            <w:vAlign w:val="bottom"/>
            <w:tcBorders>
              <w:top w:val="single" w:sz="8" w:color="auto"/>
            </w:tcBorders>
            <w:shd w:val="clear" w:color="auto" w:fill="E3E3E3"/>
          </w:tcPr>
          <w:p>
            <w:pPr>
              <w:spacing w:after="0"/>
              <w:rPr>
                <w:sz w:val="16"/>
                <w:szCs w:val="16"/>
                <w:color w:val="auto"/>
              </w:rPr>
            </w:pPr>
          </w:p>
        </w:tc>
        <w:tc>
          <w:tcPr>
            <w:tcW w:w="640" w:type="dxa"/>
            <w:vAlign w:val="bottom"/>
            <w:tcBorders>
              <w:top w:val="single" w:sz="8" w:color="auto"/>
            </w:tcBorders>
            <w:shd w:val="clear" w:color="auto" w:fill="E3E3E3"/>
          </w:tcPr>
          <w:p>
            <w:pPr>
              <w:spacing w:after="0"/>
              <w:rPr>
                <w:sz w:val="16"/>
                <w:szCs w:val="16"/>
                <w:color w:val="auto"/>
              </w:rPr>
            </w:pPr>
          </w:p>
        </w:tc>
        <w:tc>
          <w:tcPr>
            <w:tcW w:w="120" w:type="dxa"/>
            <w:vAlign w:val="bottom"/>
            <w:tcBorders>
              <w:top w:val="single" w:sz="8" w:color="E3E3E3"/>
            </w:tcBorders>
            <w:shd w:val="clear" w:color="auto" w:fill="E3E3E3"/>
          </w:tcPr>
          <w:p>
            <w:pPr>
              <w:spacing w:after="0"/>
              <w:rPr>
                <w:sz w:val="16"/>
                <w:szCs w:val="16"/>
                <w:color w:val="auto"/>
              </w:rPr>
            </w:pPr>
          </w:p>
        </w:tc>
        <w:tc>
          <w:tcPr>
            <w:tcW w:w="200" w:type="dxa"/>
            <w:vAlign w:val="bottom"/>
            <w:tcBorders>
              <w:top w:val="single" w:sz="8" w:color="auto"/>
            </w:tcBorders>
            <w:shd w:val="clear" w:color="auto" w:fill="E3E3E3"/>
          </w:tcPr>
          <w:p>
            <w:pPr>
              <w:spacing w:after="0"/>
              <w:rPr>
                <w:sz w:val="16"/>
                <w:szCs w:val="16"/>
                <w:color w:val="auto"/>
              </w:rPr>
            </w:pPr>
          </w:p>
        </w:tc>
        <w:tc>
          <w:tcPr>
            <w:tcW w:w="700" w:type="dxa"/>
            <w:vAlign w:val="bottom"/>
            <w:tcBorders>
              <w:top w:val="single" w:sz="8" w:color="auto"/>
            </w:tcBorders>
            <w:shd w:val="clear" w:color="auto" w:fill="E3E3E3"/>
          </w:tcPr>
          <w:p>
            <w:pPr>
              <w:spacing w:after="0"/>
              <w:rPr>
                <w:sz w:val="16"/>
                <w:szCs w:val="16"/>
                <w:color w:val="auto"/>
              </w:rPr>
            </w:pPr>
          </w:p>
        </w:tc>
        <w:tc>
          <w:tcPr>
            <w:tcW w:w="100" w:type="dxa"/>
            <w:vAlign w:val="bottom"/>
            <w:tcBorders>
              <w:top w:val="single" w:sz="8" w:color="E3E3E3"/>
            </w:tcBorders>
            <w:shd w:val="clear" w:color="auto" w:fill="E3E3E3"/>
          </w:tcPr>
          <w:p>
            <w:pPr>
              <w:spacing w:after="0"/>
              <w:rPr>
                <w:sz w:val="16"/>
                <w:szCs w:val="16"/>
                <w:color w:val="auto"/>
              </w:rPr>
            </w:pPr>
          </w:p>
        </w:tc>
        <w:tc>
          <w:tcPr>
            <w:tcW w:w="240" w:type="dxa"/>
            <w:vAlign w:val="bottom"/>
            <w:tcBorders>
              <w:top w:val="single" w:sz="8" w:color="auto"/>
            </w:tcBorders>
            <w:shd w:val="clear" w:color="auto" w:fill="E3E3E3"/>
          </w:tcPr>
          <w:p>
            <w:pPr>
              <w:spacing w:after="0"/>
              <w:rPr>
                <w:sz w:val="16"/>
                <w:szCs w:val="16"/>
                <w:color w:val="auto"/>
              </w:rPr>
            </w:pPr>
          </w:p>
        </w:tc>
        <w:tc>
          <w:tcPr>
            <w:tcW w:w="640" w:type="dxa"/>
            <w:vAlign w:val="bottom"/>
            <w:tcBorders>
              <w:top w:val="single" w:sz="8" w:color="auto"/>
            </w:tcBorders>
            <w:shd w:val="clear" w:color="auto" w:fill="E3E3E3"/>
          </w:tcPr>
          <w:p>
            <w:pPr>
              <w:spacing w:after="0"/>
              <w:rPr>
                <w:sz w:val="16"/>
                <w:szCs w:val="16"/>
                <w:color w:val="auto"/>
              </w:rPr>
            </w:pPr>
          </w:p>
        </w:tc>
        <w:tc>
          <w:tcPr>
            <w:tcW w:w="100" w:type="dxa"/>
            <w:vAlign w:val="bottom"/>
            <w:tcBorders>
              <w:top w:val="single" w:sz="8" w:color="E3E3E3"/>
            </w:tcBorders>
            <w:shd w:val="clear" w:color="auto" w:fill="E3E3E3"/>
          </w:tcPr>
          <w:p>
            <w:pPr>
              <w:spacing w:after="0"/>
              <w:rPr>
                <w:sz w:val="16"/>
                <w:szCs w:val="16"/>
                <w:color w:val="auto"/>
              </w:rPr>
            </w:pPr>
          </w:p>
        </w:tc>
        <w:tc>
          <w:tcPr>
            <w:tcW w:w="220" w:type="dxa"/>
            <w:vAlign w:val="bottom"/>
            <w:tcBorders>
              <w:top w:val="single" w:sz="8" w:color="auto"/>
            </w:tcBorders>
            <w:shd w:val="clear" w:color="auto" w:fill="E3E3E3"/>
          </w:tcPr>
          <w:p>
            <w:pPr>
              <w:spacing w:after="0"/>
              <w:rPr>
                <w:sz w:val="16"/>
                <w:szCs w:val="16"/>
                <w:color w:val="auto"/>
              </w:rPr>
            </w:pPr>
          </w:p>
        </w:tc>
        <w:tc>
          <w:tcPr>
            <w:tcW w:w="720" w:type="dxa"/>
            <w:vAlign w:val="bottom"/>
            <w:tcBorders>
              <w:top w:val="single" w:sz="8" w:color="auto"/>
            </w:tcBorders>
            <w:shd w:val="clear" w:color="auto" w:fill="E3E3E3"/>
          </w:tcPr>
          <w:p>
            <w:pPr>
              <w:spacing w:after="0"/>
              <w:rPr>
                <w:sz w:val="16"/>
                <w:szCs w:val="16"/>
                <w:color w:val="auto"/>
              </w:rPr>
            </w:pPr>
          </w:p>
        </w:tc>
      </w:tr>
      <w:tr>
        <w:trPr>
          <w:trHeight w:val="244"/>
        </w:trPr>
        <w:tc>
          <w:tcPr>
            <w:tcW w:w="33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19.1</w:t>
            </w:r>
          </w:p>
        </w:tc>
      </w:tr>
      <w:tr>
        <w:trPr>
          <w:trHeight w:val="235"/>
        </w:trPr>
        <w:tc>
          <w:tcPr>
            <w:tcW w:w="33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4"/>
        </w:trPr>
        <w:tc>
          <w:tcPr>
            <w:tcW w:w="3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Foreign currency forward contracts</w:t>
            </w: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3300" w:type="dxa"/>
            <w:vAlign w:val="bottom"/>
            <w:tcBorders>
              <w:bottom w:val="single" w:sz="8" w:color="E3E3E3"/>
            </w:tcBorders>
          </w:tcPr>
          <w:p>
            <w:pPr>
              <w:ind w:left="46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63"/>
        </w:trPr>
        <w:tc>
          <w:tcPr>
            <w:tcW w:w="330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763.9</w:t>
            </w:r>
          </w:p>
        </w:tc>
        <w:tc>
          <w:tcPr>
            <w:tcW w:w="100" w:type="dxa"/>
            <w:vAlign w:val="bottom"/>
            <w:shd w:val="clear" w:color="auto" w:fill="E3E3E3"/>
          </w:tcPr>
          <w:p>
            <w:pPr>
              <w:spacing w:after="0"/>
              <w:rPr>
                <w:sz w:val="22"/>
                <w:szCs w:val="22"/>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5,028.1</w:t>
            </w:r>
          </w:p>
        </w:tc>
        <w:tc>
          <w:tcPr>
            <w:tcW w:w="100" w:type="dxa"/>
            <w:vAlign w:val="bottom"/>
            <w:shd w:val="clear" w:color="auto" w:fill="E3E3E3"/>
          </w:tcPr>
          <w:p>
            <w:pPr>
              <w:spacing w:after="0"/>
              <w:rPr>
                <w:sz w:val="22"/>
                <w:szCs w:val="22"/>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5,792.0</w:t>
            </w:r>
          </w:p>
        </w:tc>
        <w:tc>
          <w:tcPr>
            <w:tcW w:w="120" w:type="dxa"/>
            <w:vAlign w:val="bottom"/>
            <w:shd w:val="clear" w:color="auto" w:fill="E3E3E3"/>
          </w:tcPr>
          <w:p>
            <w:pPr>
              <w:spacing w:after="0"/>
              <w:rPr>
                <w:sz w:val="22"/>
                <w:szCs w:val="22"/>
                <w:color w:val="auto"/>
              </w:rPr>
            </w:pPr>
          </w:p>
        </w:tc>
        <w:tc>
          <w:tcPr>
            <w:tcW w:w="24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476.1</w:t>
            </w:r>
          </w:p>
        </w:tc>
        <w:tc>
          <w:tcPr>
            <w:tcW w:w="120" w:type="dxa"/>
            <w:vAlign w:val="bottom"/>
            <w:shd w:val="clear" w:color="auto" w:fill="E3E3E3"/>
          </w:tcPr>
          <w:p>
            <w:pPr>
              <w:spacing w:after="0"/>
              <w:rPr>
                <w:sz w:val="22"/>
                <w:szCs w:val="22"/>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4,474.8</w:t>
            </w:r>
          </w:p>
        </w:tc>
        <w:tc>
          <w:tcPr>
            <w:tcW w:w="100" w:type="dxa"/>
            <w:vAlign w:val="bottom"/>
            <w:shd w:val="clear" w:color="auto" w:fill="E3E3E3"/>
          </w:tcPr>
          <w:p>
            <w:pPr>
              <w:spacing w:after="0"/>
              <w:rPr>
                <w:sz w:val="22"/>
                <w:szCs w:val="22"/>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4,950.9</w:t>
            </w:r>
          </w:p>
        </w:tc>
      </w:tr>
      <w:tr>
        <w:trPr>
          <w:trHeight w:val="20"/>
        </w:trPr>
        <w:tc>
          <w:tcPr>
            <w:tcW w:w="330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3"/>
        </w:trPr>
        <w:tc>
          <w:tcPr>
            <w:tcW w:w="3300" w:type="dxa"/>
            <w:vAlign w:val="bottom"/>
            <w:shd w:val="clear" w:color="auto" w:fill="E3E3E3"/>
          </w:tcPr>
          <w:p>
            <w:pPr>
              <w:ind w:left="20"/>
              <w:spacing w:after="0"/>
              <w:rPr>
                <w:sz w:val="20"/>
                <w:szCs w:val="20"/>
                <w:color w:val="auto"/>
              </w:rPr>
            </w:pPr>
            <w:r>
              <w:rPr>
                <w:rFonts w:ascii="Arial" w:cs="Arial" w:eastAsia="Arial" w:hAnsi="Arial"/>
                <w:sz w:val="16"/>
                <w:szCs w:val="16"/>
                <w:color w:val="auto"/>
              </w:rPr>
              <w:t>Accrued and other liabilities:</w:t>
            </w: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6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spacing w:after="0"/>
              <w:rPr>
                <w:sz w:val="21"/>
                <w:szCs w:val="21"/>
                <w:color w:val="auto"/>
              </w:rPr>
            </w:pPr>
          </w:p>
        </w:tc>
      </w:tr>
      <w:tr>
        <w:trPr>
          <w:trHeight w:val="237"/>
        </w:trPr>
        <w:tc>
          <w:tcPr>
            <w:tcW w:w="33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Foreign currency forward contracts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43"/>
        </w:trPr>
        <w:tc>
          <w:tcPr>
            <w:tcW w:w="3300" w:type="dxa"/>
            <w:vAlign w:val="bottom"/>
            <w:shd w:val="clear" w:color="auto" w:fill="E3E3E3"/>
          </w:tcPr>
          <w:p>
            <w:pPr>
              <w:ind w:left="460"/>
              <w:spacing w:after="0"/>
              <w:rPr>
                <w:sz w:val="20"/>
                <w:szCs w:val="20"/>
                <w:color w:val="auto"/>
              </w:rPr>
            </w:pPr>
            <w:r>
              <w:rPr>
                <w:rFonts w:ascii="Arial" w:cs="Arial" w:eastAsia="Arial" w:hAnsi="Arial"/>
                <w:sz w:val="16"/>
                <w:szCs w:val="16"/>
                <w:color w:val="auto"/>
              </w:rPr>
              <w:t>Total accrued and other liabilities</w:t>
            </w: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740" w:type="dxa"/>
            <w:vAlign w:val="bottom"/>
            <w:gridSpan w:val="2"/>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1"/>
                <w:szCs w:val="21"/>
                <w:color w:val="auto"/>
              </w:rPr>
            </w:pP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18.7</w:t>
            </w:r>
          </w:p>
        </w:tc>
      </w:tr>
      <w:tr>
        <w:trPr>
          <w:trHeight w:val="235"/>
        </w:trPr>
        <w:tc>
          <w:tcPr>
            <w:tcW w:w="33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4"/>
        </w:trPr>
        <w:tc>
          <w:tcPr>
            <w:tcW w:w="33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Foreign currency forward contracts</w:t>
            </w: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E3E3E3"/>
          </w:tcPr>
          <w:p>
            <w:pPr>
              <w:spacing w:after="0"/>
              <w:rPr>
                <w:sz w:val="21"/>
                <w:szCs w:val="21"/>
                <w:color w:val="auto"/>
              </w:rPr>
            </w:pPr>
          </w:p>
        </w:tc>
        <w:tc>
          <w:tcPr>
            <w:tcW w:w="240" w:type="dxa"/>
            <w:vAlign w:val="bottom"/>
            <w:tcBorders>
              <w:bottom w:val="single" w:sz="8" w:color="auto"/>
            </w:tcBorders>
            <w:shd w:val="clear" w:color="auto" w:fill="E3E3E3"/>
          </w:tcPr>
          <w:p>
            <w:pPr>
              <w:spacing w:after="0"/>
              <w:rPr>
                <w:sz w:val="21"/>
                <w:szCs w:val="21"/>
                <w:color w:val="auto"/>
              </w:rPr>
            </w:pPr>
          </w:p>
        </w:tc>
        <w:tc>
          <w:tcPr>
            <w:tcW w:w="640" w:type="dxa"/>
            <w:vAlign w:val="bottom"/>
            <w:tcBorders>
              <w:bottom w:val="single" w:sz="8" w:color="auto"/>
            </w:tcBorders>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w:t>
            </w:r>
          </w:p>
        </w:tc>
      </w:tr>
      <w:tr>
        <w:trPr>
          <w:trHeight w:val="236"/>
        </w:trPr>
        <w:tc>
          <w:tcPr>
            <w:tcW w:w="3300" w:type="dxa"/>
            <w:vAlign w:val="bottom"/>
            <w:tcBorders>
              <w:bottom w:val="single" w:sz="8" w:color="E3E3E3"/>
            </w:tcBorders>
          </w:tcPr>
          <w:p>
            <w:pPr>
              <w:ind w:left="460"/>
              <w:spacing w:after="0"/>
              <w:rPr>
                <w:sz w:val="20"/>
                <w:szCs w:val="20"/>
                <w:color w:val="auto"/>
              </w:rPr>
            </w:pPr>
            <w:r>
              <w:rPr>
                <w:rFonts w:ascii="Arial" w:cs="Arial" w:eastAsia="Arial" w:hAnsi="Arial"/>
                <w:sz w:val="16"/>
                <w:szCs w:val="16"/>
                <w:color w:val="auto"/>
              </w:rPr>
              <w:t>Total other long-term liabilities</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63"/>
        </w:trPr>
        <w:tc>
          <w:tcPr>
            <w:tcW w:w="330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liabilities measured at fair value</w:t>
            </w: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E3E3E3"/>
          </w:tcPr>
          <w:p>
            <w:pPr>
              <w:spacing w:after="0"/>
              <w:rPr>
                <w:sz w:val="22"/>
                <w:szCs w:val="22"/>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E3E3E3"/>
          </w:tcPr>
          <w:p>
            <w:pPr>
              <w:ind w:lef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E3E3E3"/>
          </w:tcPr>
          <w:p>
            <w:pPr>
              <w:spacing w:after="0"/>
              <w:rPr>
                <w:sz w:val="22"/>
                <w:szCs w:val="22"/>
                <w:color w:val="auto"/>
              </w:rPr>
            </w:pPr>
          </w:p>
        </w:tc>
        <w:tc>
          <w:tcPr>
            <w:tcW w:w="24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E3E3E3"/>
          </w:tcPr>
          <w:p>
            <w:pPr>
              <w:spacing w:after="0"/>
              <w:rPr>
                <w:sz w:val="22"/>
                <w:szCs w:val="22"/>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E3E3E3"/>
          </w:tcPr>
          <w:p>
            <w:pPr>
              <w:ind w:left="4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20.3</w:t>
            </w:r>
          </w:p>
        </w:tc>
      </w:tr>
      <w:tr>
        <w:trPr>
          <w:trHeight w:val="20"/>
        </w:trPr>
        <w:tc>
          <w:tcPr>
            <w:tcW w:w="330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Refer to Note 9. Debt for the carrying amount and estimated fair value of our convertible senior notes as of April 30, 2024 and July 31, 2023.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Cash Equivalents and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Available-for-sale Debt Securities</w:t>
      </w:r>
    </w:p>
    <w:p>
      <w:pPr>
        <w:spacing w:after="0" w:line="12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tables summarize the amortized cost, unrealized gains and losses, and fair value of our available-for-sale debt securities as of April 30, 2024 and July 31, 2023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April 30, 2024</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508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Borders>
              <w:top w:val="single" w:sz="8" w:color="auto"/>
            </w:tcBorders>
            <w:shd w:val="clear" w:color="auto" w:fill="E3E3E3"/>
          </w:tcPr>
          <w:p>
            <w:pPr>
              <w:spacing w:after="0"/>
              <w:rPr>
                <w:sz w:val="21"/>
                <w:szCs w:val="21"/>
                <w:color w:val="auto"/>
              </w:rPr>
            </w:pPr>
          </w:p>
        </w:tc>
        <w:tc>
          <w:tcPr>
            <w:tcW w:w="124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00" w:type="dxa"/>
            <w:vAlign w:val="bottom"/>
            <w:tcBorders>
              <w:top w:val="single" w:sz="8" w:color="auto"/>
            </w:tcBorders>
            <w:shd w:val="clear" w:color="auto" w:fill="E3E3E3"/>
          </w:tcPr>
          <w:p>
            <w:pPr>
              <w:spacing w:after="0"/>
              <w:rPr>
                <w:sz w:val="21"/>
                <w:szCs w:val="21"/>
                <w:color w:val="auto"/>
              </w:rPr>
            </w:pPr>
          </w:p>
        </w:tc>
        <w:tc>
          <w:tcPr>
            <w:tcW w:w="126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spacing w:after="0"/>
              <w:rPr>
                <w:sz w:val="21"/>
                <w:szCs w:val="21"/>
                <w:color w:val="auto"/>
              </w:rPr>
            </w:pPr>
          </w:p>
        </w:tc>
        <w:tc>
          <w:tcPr>
            <w:tcW w:w="13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440" w:type="dxa"/>
            <w:vAlign w:val="bottom"/>
            <w:tcBorders>
              <w:top w:val="single" w:sz="8" w:color="auto"/>
            </w:tcBorders>
            <w:shd w:val="clear" w:color="auto" w:fill="E3E3E3"/>
          </w:tcPr>
          <w:p>
            <w:pPr>
              <w:spacing w:after="0"/>
              <w:rPr>
                <w:sz w:val="21"/>
                <w:szCs w:val="21"/>
                <w:color w:val="auto"/>
              </w:rPr>
            </w:pPr>
          </w:p>
        </w:tc>
        <w:tc>
          <w:tcPr>
            <w:tcW w:w="1020" w:type="dxa"/>
            <w:vAlign w:val="bottom"/>
            <w:tcBorders>
              <w:top w:val="single" w:sz="8" w:color="auto"/>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Commercial paper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3"/>
        </w:trPr>
        <w:tc>
          <w:tcPr>
            <w:tcW w:w="5080" w:type="dxa"/>
            <w:vAlign w:val="bottom"/>
            <w:shd w:val="clear" w:color="auto" w:fill="E3E3E3"/>
          </w:tcPr>
          <w:p>
            <w:pPr>
              <w:ind w:left="460"/>
              <w:spacing w:after="0"/>
              <w:rPr>
                <w:sz w:val="20"/>
                <w:szCs w:val="20"/>
                <w:color w:val="auto"/>
              </w:rPr>
            </w:pPr>
            <w:r>
              <w:rPr>
                <w:rFonts w:ascii="Arial" w:cs="Arial" w:eastAsia="Arial" w:hAnsi="Arial"/>
                <w:sz w:val="16"/>
                <w:szCs w:val="16"/>
                <w:color w:val="auto"/>
              </w:rPr>
              <w:t>Total available-for-sale cash equivalents</w:t>
            </w: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E3E3E3"/>
          </w:tcPr>
          <w:p>
            <w:pPr>
              <w:spacing w:after="0"/>
              <w:rPr>
                <w:sz w:val="22"/>
                <w:szCs w:val="22"/>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080" w:type="dxa"/>
            <w:vAlign w:val="bottom"/>
            <w:tcBorders>
              <w:top w:val="single" w:sz="8" w:color="E3E3E3"/>
              <w:bottom w:val="single" w:sz="8" w:color="E3E3E3"/>
            </w:tcBorders>
            <w:vMerge w:val="restart"/>
          </w:tcPr>
          <w:p>
            <w:pPr>
              <w:ind w:left="20"/>
              <w:spacing w:after="0"/>
              <w:rPr>
                <w:sz w:val="20"/>
                <w:szCs w:val="20"/>
                <w:color w:val="auto"/>
              </w:rPr>
            </w:pPr>
            <w:r>
              <w:rPr>
                <w:rFonts w:ascii="Arial" w:cs="Arial" w:eastAsia="Arial" w:hAnsi="Arial"/>
                <w:sz w:val="16"/>
                <w:szCs w:val="16"/>
                <w:color w:val="auto"/>
              </w:rPr>
              <w:t>Investments: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0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Certificates of deposit</w:t>
            </w: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5"/>
        </w:trPr>
        <w:tc>
          <w:tcPr>
            <w:tcW w:w="5080" w:type="dxa"/>
            <w:vAlign w:val="bottom"/>
          </w:tcPr>
          <w:p>
            <w:pPr>
              <w:ind w:left="240"/>
              <w:spacing w:after="0"/>
              <w:rPr>
                <w:sz w:val="20"/>
                <w:szCs w:val="20"/>
                <w:color w:val="auto"/>
              </w:rPr>
            </w:pPr>
            <w:r>
              <w:rPr>
                <w:rFonts w:ascii="Arial" w:cs="Arial" w:eastAsia="Arial" w:hAnsi="Arial"/>
                <w:sz w:val="16"/>
                <w:szCs w:val="16"/>
                <w:color w:val="auto"/>
              </w:rPr>
              <w:t>Commercial paper</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170.9</w:t>
            </w:r>
          </w:p>
        </w:tc>
        <w:tc>
          <w:tcPr>
            <w:tcW w:w="0" w:type="dxa"/>
            <w:vAlign w:val="bottom"/>
          </w:tcPr>
          <w:p>
            <w:pPr>
              <w:spacing w:after="0"/>
              <w:rPr>
                <w:sz w:val="1"/>
                <w:szCs w:val="1"/>
                <w:color w:val="auto"/>
              </w:rPr>
            </w:pPr>
          </w:p>
        </w:tc>
      </w:tr>
      <w:tr>
        <w:trPr>
          <w:trHeight w:val="251"/>
        </w:trPr>
        <w:tc>
          <w:tcPr>
            <w:tcW w:w="50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3,803.5</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3,777.3</w:t>
            </w:r>
          </w:p>
        </w:tc>
        <w:tc>
          <w:tcPr>
            <w:tcW w:w="0" w:type="dxa"/>
            <w:vAlign w:val="bottom"/>
          </w:tcPr>
          <w:p>
            <w:pPr>
              <w:spacing w:after="0"/>
              <w:rPr>
                <w:sz w:val="1"/>
                <w:szCs w:val="1"/>
                <w:color w:val="auto"/>
              </w:rPr>
            </w:pPr>
          </w:p>
        </w:tc>
      </w:tr>
      <w:tr>
        <w:trPr>
          <w:trHeight w:val="235"/>
        </w:trPr>
        <w:tc>
          <w:tcPr>
            <w:tcW w:w="5080" w:type="dxa"/>
            <w:vAlign w:val="bottom"/>
          </w:tcPr>
          <w:p>
            <w:pPr>
              <w:ind w:left="24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51"/>
        </w:trPr>
        <w:tc>
          <w:tcPr>
            <w:tcW w:w="50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Non-U.S. government and agency securities</w:t>
            </w:r>
          </w:p>
        </w:tc>
        <w:tc>
          <w:tcPr>
            <w:tcW w:w="22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Asset-backed securities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881.4</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E3E3E3"/>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875.8</w:t>
            </w:r>
          </w:p>
        </w:tc>
        <w:tc>
          <w:tcPr>
            <w:tcW w:w="0" w:type="dxa"/>
            <w:vAlign w:val="bottom"/>
          </w:tcPr>
          <w:p>
            <w:pPr>
              <w:spacing w:after="0"/>
              <w:rPr>
                <w:sz w:val="1"/>
                <w:szCs w:val="1"/>
                <w:color w:val="auto"/>
              </w:rPr>
            </w:pPr>
          </w:p>
        </w:tc>
      </w:tr>
      <w:tr>
        <w:trPr>
          <w:trHeight w:val="268"/>
        </w:trPr>
        <w:tc>
          <w:tcPr>
            <w:tcW w:w="5080" w:type="dxa"/>
            <w:vAlign w:val="bottom"/>
            <w:tcBorders>
              <w:bottom w:val="single" w:sz="8" w:color="E3E3E3"/>
            </w:tcBorders>
            <w:shd w:val="clear" w:color="auto" w:fill="E3E3E3"/>
          </w:tcPr>
          <w:p>
            <w:pPr>
              <w:ind w:left="460"/>
              <w:spacing w:after="0"/>
              <w:rPr>
                <w:sz w:val="20"/>
                <w:szCs w:val="20"/>
                <w:color w:val="auto"/>
              </w:rPr>
            </w:pPr>
            <w:r>
              <w:rPr>
                <w:rFonts w:ascii="Arial" w:cs="Arial" w:eastAsia="Arial" w:hAnsi="Arial"/>
                <w:sz w:val="16"/>
                <w:szCs w:val="16"/>
                <w:color w:val="auto"/>
              </w:rPr>
              <w:t>Total available-for-sale investments</w:t>
            </w:r>
          </w:p>
        </w:tc>
        <w:tc>
          <w:tcPr>
            <w:tcW w:w="22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5,054.3</w:t>
            </w:r>
          </w:p>
        </w:tc>
        <w:tc>
          <w:tcPr>
            <w:tcW w:w="10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E3E3E3"/>
            </w:tcBorders>
            <w:shd w:val="clear" w:color="auto" w:fill="E3E3E3"/>
          </w:tcPr>
          <w:p>
            <w:pPr>
              <w:spacing w:after="0"/>
              <w:rPr>
                <w:sz w:val="22"/>
                <w:szCs w:val="22"/>
                <w:color w:val="auto"/>
              </w:rPr>
            </w:pPr>
          </w:p>
        </w:tc>
        <w:tc>
          <w:tcPr>
            <w:tcW w:w="440" w:type="dxa"/>
            <w:vAlign w:val="bottom"/>
            <w:tcBorders>
              <w:bottom w:val="single" w:sz="8" w:color="auto"/>
            </w:tcBorders>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5,021.1</w:t>
            </w:r>
          </w:p>
        </w:tc>
        <w:tc>
          <w:tcPr>
            <w:tcW w:w="0" w:type="dxa"/>
            <w:vAlign w:val="bottom"/>
          </w:tcPr>
          <w:p>
            <w:pPr>
              <w:spacing w:after="0"/>
              <w:rPr>
                <w:sz w:val="1"/>
                <w:szCs w:val="1"/>
                <w:color w:val="auto"/>
              </w:rPr>
            </w:pPr>
          </w:p>
        </w:tc>
      </w:tr>
      <w:tr>
        <w:trPr>
          <w:trHeight w:val="20"/>
        </w:trPr>
        <w:tc>
          <w:tcPr>
            <w:tcW w:w="508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bottom w:val="single" w:sz="8" w:color="auto"/>
            </w:tcBorders>
          </w:tcPr>
          <w:p>
            <w:pPr>
              <w:spacing w:after="0" w:line="20" w:lineRule="exact"/>
              <w:rPr>
                <w:sz w:val="1"/>
                <w:szCs w:val="1"/>
                <w:color w:val="auto"/>
              </w:rPr>
            </w:pPr>
          </w:p>
        </w:tc>
        <w:tc>
          <w:tcPr>
            <w:tcW w:w="124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126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460" w:type="dxa"/>
            <w:vAlign w:val="bottom"/>
            <w:tcBorders>
              <w:top w:val="single" w:sz="8" w:color="E3E3E3"/>
              <w:bottom w:val="single" w:sz="8" w:color="auto"/>
            </w:tcBorders>
            <w:gridSpan w:val="2"/>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40" w:type="dxa"/>
            <w:vAlign w:val="bottom"/>
            <w:tcBorders>
              <w:top w:val="single" w:sz="8" w:color="E3E3E3"/>
              <w:bottom w:val="single" w:sz="8" w:color="auto"/>
            </w:tcBorders>
          </w:tcPr>
          <w:p>
            <w:pPr>
              <w:spacing w:after="0" w:line="20" w:lineRule="exact"/>
              <w:rPr>
                <w:sz w:val="1"/>
                <w:szCs w:val="1"/>
                <w:color w:val="auto"/>
              </w:rPr>
            </w:pPr>
          </w:p>
        </w:tc>
        <w:tc>
          <w:tcPr>
            <w:tcW w:w="102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July 31, 2023</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508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Borders>
              <w:top w:val="single" w:sz="8" w:color="auto"/>
            </w:tcBorders>
            <w:shd w:val="clear" w:color="auto" w:fill="E3E3E3"/>
          </w:tcPr>
          <w:p>
            <w:pPr>
              <w:spacing w:after="0"/>
              <w:rPr>
                <w:sz w:val="21"/>
                <w:szCs w:val="21"/>
                <w:color w:val="auto"/>
              </w:rPr>
            </w:pPr>
          </w:p>
        </w:tc>
        <w:tc>
          <w:tcPr>
            <w:tcW w:w="124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200" w:type="dxa"/>
            <w:vAlign w:val="bottom"/>
            <w:tcBorders>
              <w:top w:val="single" w:sz="8" w:color="auto"/>
            </w:tcBorders>
            <w:shd w:val="clear" w:color="auto" w:fill="E3E3E3"/>
          </w:tcPr>
          <w:p>
            <w:pPr>
              <w:spacing w:after="0"/>
              <w:rPr>
                <w:sz w:val="21"/>
                <w:szCs w:val="21"/>
                <w:color w:val="auto"/>
              </w:rPr>
            </w:pPr>
          </w:p>
        </w:tc>
        <w:tc>
          <w:tcPr>
            <w:tcW w:w="126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spacing w:after="0"/>
              <w:rPr>
                <w:sz w:val="21"/>
                <w:szCs w:val="21"/>
                <w:color w:val="auto"/>
              </w:rPr>
            </w:pPr>
          </w:p>
        </w:tc>
        <w:tc>
          <w:tcPr>
            <w:tcW w:w="13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440" w:type="dxa"/>
            <w:vAlign w:val="bottom"/>
            <w:tcBorders>
              <w:top w:val="single" w:sz="8" w:color="auto"/>
            </w:tcBorders>
            <w:shd w:val="clear" w:color="auto" w:fill="E3E3E3"/>
          </w:tcPr>
          <w:p>
            <w:pPr>
              <w:spacing w:after="0"/>
              <w:rPr>
                <w:sz w:val="21"/>
                <w:szCs w:val="21"/>
                <w:color w:val="auto"/>
              </w:rPr>
            </w:pPr>
          </w:p>
        </w:tc>
        <w:tc>
          <w:tcPr>
            <w:tcW w:w="1020" w:type="dxa"/>
            <w:vAlign w:val="bottom"/>
            <w:tcBorders>
              <w:top w:val="single" w:sz="8" w:color="auto"/>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Commercial paper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3E3E3"/>
            </w:tcBorders>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63"/>
        </w:trPr>
        <w:tc>
          <w:tcPr>
            <w:tcW w:w="5080" w:type="dxa"/>
            <w:vAlign w:val="bottom"/>
            <w:shd w:val="clear" w:color="auto" w:fill="E3E3E3"/>
          </w:tcPr>
          <w:p>
            <w:pPr>
              <w:ind w:left="460"/>
              <w:spacing w:after="0"/>
              <w:rPr>
                <w:sz w:val="20"/>
                <w:szCs w:val="20"/>
                <w:color w:val="auto"/>
              </w:rPr>
            </w:pPr>
            <w:r>
              <w:rPr>
                <w:rFonts w:ascii="Arial" w:cs="Arial" w:eastAsia="Arial" w:hAnsi="Arial"/>
                <w:sz w:val="16"/>
                <w:szCs w:val="16"/>
                <w:color w:val="auto"/>
              </w:rPr>
              <w:t>Total available-for-sale cash equivalents</w:t>
            </w: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E3E3E3"/>
          </w:tcPr>
          <w:p>
            <w:pPr>
              <w:spacing w:after="0"/>
              <w:rPr>
                <w:sz w:val="22"/>
                <w:szCs w:val="22"/>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
        </w:trPr>
        <w:tc>
          <w:tcPr>
            <w:tcW w:w="5080" w:type="dxa"/>
            <w:vAlign w:val="bottom"/>
            <w:tcBorders>
              <w:top w:val="single" w:sz="8" w:color="E3E3E3"/>
              <w:bottom w:val="single" w:sz="8" w:color="E3E3E3"/>
            </w:tcBorders>
            <w:vMerge w:val="restart"/>
          </w:tcPr>
          <w:p>
            <w:pPr>
              <w:ind w:left="20"/>
              <w:spacing w:after="0"/>
              <w:rPr>
                <w:sz w:val="20"/>
                <w:szCs w:val="20"/>
                <w:color w:val="auto"/>
              </w:rPr>
            </w:pPr>
            <w:r>
              <w:rPr>
                <w:rFonts w:ascii="Arial" w:cs="Arial" w:eastAsia="Arial" w:hAnsi="Arial"/>
                <w:sz w:val="16"/>
                <w:szCs w:val="16"/>
                <w:color w:val="auto"/>
              </w:rPr>
              <w:t>Investments: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0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Certificates of deposit</w:t>
            </w: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35"/>
        </w:trPr>
        <w:tc>
          <w:tcPr>
            <w:tcW w:w="5080" w:type="dxa"/>
            <w:vAlign w:val="bottom"/>
          </w:tcPr>
          <w:p>
            <w:pPr>
              <w:ind w:left="240"/>
              <w:spacing w:after="0"/>
              <w:rPr>
                <w:sz w:val="20"/>
                <w:szCs w:val="20"/>
                <w:color w:val="auto"/>
              </w:rPr>
            </w:pPr>
            <w:r>
              <w:rPr>
                <w:rFonts w:ascii="Arial" w:cs="Arial" w:eastAsia="Arial" w:hAnsi="Arial"/>
                <w:sz w:val="16"/>
                <w:szCs w:val="16"/>
                <w:color w:val="auto"/>
              </w:rPr>
              <w:t>Commercial paper</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251"/>
        </w:trPr>
        <w:tc>
          <w:tcPr>
            <w:tcW w:w="50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Corporate debt securities</w:t>
            </w:r>
          </w:p>
        </w:tc>
        <w:tc>
          <w:tcPr>
            <w:tcW w:w="22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3,313.5</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2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3,282.3</w:t>
            </w:r>
          </w:p>
        </w:tc>
        <w:tc>
          <w:tcPr>
            <w:tcW w:w="0" w:type="dxa"/>
            <w:vAlign w:val="bottom"/>
          </w:tcPr>
          <w:p>
            <w:pPr>
              <w:spacing w:after="0"/>
              <w:rPr>
                <w:sz w:val="1"/>
                <w:szCs w:val="1"/>
                <w:color w:val="auto"/>
              </w:rPr>
            </w:pPr>
          </w:p>
        </w:tc>
      </w:tr>
      <w:tr>
        <w:trPr>
          <w:trHeight w:val="235"/>
        </w:trPr>
        <w:tc>
          <w:tcPr>
            <w:tcW w:w="5080" w:type="dxa"/>
            <w:vAlign w:val="bottom"/>
          </w:tcPr>
          <w:p>
            <w:pPr>
              <w:ind w:left="240"/>
              <w:spacing w:after="0"/>
              <w:rPr>
                <w:sz w:val="20"/>
                <w:szCs w:val="20"/>
                <w:color w:val="auto"/>
              </w:rPr>
            </w:pPr>
            <w:r>
              <w:rPr>
                <w:rFonts w:ascii="Arial" w:cs="Arial" w:eastAsia="Arial" w:hAnsi="Arial"/>
                <w:sz w:val="16"/>
                <w:szCs w:val="16"/>
                <w:color w:val="auto"/>
              </w:rPr>
              <w:t>U.S. government and agency securities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251"/>
        </w:trPr>
        <w:tc>
          <w:tcPr>
            <w:tcW w:w="50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Non-U.S. government and agency securities</w:t>
            </w:r>
          </w:p>
        </w:tc>
        <w:tc>
          <w:tcPr>
            <w:tcW w:w="220" w:type="dxa"/>
            <w:vAlign w:val="bottom"/>
            <w:shd w:val="clear" w:color="auto" w:fill="E3E3E3"/>
          </w:tcPr>
          <w:p>
            <w:pPr>
              <w:spacing w:after="0"/>
              <w:rPr>
                <w:sz w:val="21"/>
                <w:szCs w:val="21"/>
                <w:color w:val="auto"/>
              </w:rPr>
            </w:pPr>
          </w:p>
        </w:tc>
        <w:tc>
          <w:tcPr>
            <w:tcW w:w="12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38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3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Asset-backed securities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512.0</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E3E3E3"/>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509.2</w:t>
            </w:r>
          </w:p>
        </w:tc>
        <w:tc>
          <w:tcPr>
            <w:tcW w:w="0" w:type="dxa"/>
            <w:vAlign w:val="bottom"/>
          </w:tcPr>
          <w:p>
            <w:pPr>
              <w:spacing w:after="0"/>
              <w:rPr>
                <w:sz w:val="1"/>
                <w:szCs w:val="1"/>
                <w:color w:val="auto"/>
              </w:rPr>
            </w:pPr>
          </w:p>
        </w:tc>
      </w:tr>
      <w:tr>
        <w:trPr>
          <w:trHeight w:val="268"/>
        </w:trPr>
        <w:tc>
          <w:tcPr>
            <w:tcW w:w="5080" w:type="dxa"/>
            <w:vAlign w:val="bottom"/>
            <w:tcBorders>
              <w:bottom w:val="single" w:sz="8" w:color="E3E3E3"/>
            </w:tcBorders>
            <w:shd w:val="clear" w:color="auto" w:fill="E3E3E3"/>
          </w:tcPr>
          <w:p>
            <w:pPr>
              <w:ind w:left="460"/>
              <w:spacing w:after="0"/>
              <w:rPr>
                <w:sz w:val="20"/>
                <w:szCs w:val="20"/>
                <w:color w:val="auto"/>
              </w:rPr>
            </w:pPr>
            <w:r>
              <w:rPr>
                <w:rFonts w:ascii="Arial" w:cs="Arial" w:eastAsia="Arial" w:hAnsi="Arial"/>
                <w:sz w:val="16"/>
                <w:szCs w:val="16"/>
                <w:color w:val="auto"/>
              </w:rPr>
              <w:t>Total available-for-sale investments</w:t>
            </w:r>
          </w:p>
        </w:tc>
        <w:tc>
          <w:tcPr>
            <w:tcW w:w="22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4,339.1</w:t>
            </w:r>
          </w:p>
        </w:tc>
        <w:tc>
          <w:tcPr>
            <w:tcW w:w="10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E3E3E3"/>
            </w:tcBorders>
            <w:shd w:val="clear" w:color="auto" w:fill="E3E3E3"/>
          </w:tcPr>
          <w:p>
            <w:pPr>
              <w:spacing w:after="0"/>
              <w:rPr>
                <w:sz w:val="22"/>
                <w:szCs w:val="22"/>
                <w:color w:val="auto"/>
              </w:rPr>
            </w:pPr>
          </w:p>
        </w:tc>
        <w:tc>
          <w:tcPr>
            <w:tcW w:w="440" w:type="dxa"/>
            <w:vAlign w:val="bottom"/>
            <w:tcBorders>
              <w:bottom w:val="single" w:sz="8" w:color="auto"/>
            </w:tcBorders>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4,302.6</w:t>
            </w:r>
          </w:p>
        </w:tc>
        <w:tc>
          <w:tcPr>
            <w:tcW w:w="0" w:type="dxa"/>
            <w:vAlign w:val="bottom"/>
          </w:tcPr>
          <w:p>
            <w:pPr>
              <w:spacing w:after="0"/>
              <w:rPr>
                <w:sz w:val="1"/>
                <w:szCs w:val="1"/>
                <w:color w:val="auto"/>
              </w:rPr>
            </w:pPr>
          </w:p>
        </w:tc>
      </w:tr>
      <w:tr>
        <w:trPr>
          <w:trHeight w:val="20"/>
        </w:trPr>
        <w:tc>
          <w:tcPr>
            <w:tcW w:w="508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bottom w:val="single" w:sz="8" w:color="auto"/>
            </w:tcBorders>
          </w:tcPr>
          <w:p>
            <w:pPr>
              <w:spacing w:after="0" w:line="20" w:lineRule="exact"/>
              <w:rPr>
                <w:sz w:val="1"/>
                <w:szCs w:val="1"/>
                <w:color w:val="auto"/>
              </w:rPr>
            </w:pPr>
          </w:p>
        </w:tc>
        <w:tc>
          <w:tcPr>
            <w:tcW w:w="124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126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40" w:type="dxa"/>
            <w:vAlign w:val="bottom"/>
            <w:tcBorders>
              <w:top w:val="single" w:sz="8" w:color="E3E3E3"/>
              <w:bottom w:val="single" w:sz="8" w:color="auto"/>
            </w:tcBorders>
          </w:tcPr>
          <w:p>
            <w:pPr>
              <w:spacing w:after="0" w:line="20" w:lineRule="exact"/>
              <w:rPr>
                <w:sz w:val="1"/>
                <w:szCs w:val="1"/>
                <w:color w:val="auto"/>
              </w:rPr>
            </w:pPr>
          </w:p>
        </w:tc>
        <w:tc>
          <w:tcPr>
            <w:tcW w:w="13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440" w:type="dxa"/>
            <w:vAlign w:val="bottom"/>
            <w:tcBorders>
              <w:top w:val="single" w:sz="8" w:color="E3E3E3"/>
              <w:bottom w:val="single" w:sz="8" w:color="auto"/>
            </w:tcBorders>
          </w:tcPr>
          <w:p>
            <w:pPr>
              <w:spacing w:after="0" w:line="20" w:lineRule="exact"/>
              <w:rPr>
                <w:sz w:val="1"/>
                <w:szCs w:val="1"/>
                <w:color w:val="auto"/>
              </w:rPr>
            </w:pPr>
          </w:p>
        </w:tc>
        <w:tc>
          <w:tcPr>
            <w:tcW w:w="102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As of April 30, 2024, the gross unrealized losses that have been in a continuous unrealized loss position for less than 12 months were $30.3 million, which were related to $3.4 billion of available-for-sale debt securities, and the gross unrealized losses that have been in a continuous unrealized loss position for more than 12 months were $6.4 million, which were related to $722.1 million of available-for-sale debt securities. As of July 31, 2023 the gross unrealized losses that have been in a continuous unrealized loss position for less than 12 months were $30.7 million, which were related to $3.4 billion of available-for-sale debt securities, and the gross unrealized losses that have been in a continuous unrealized loss position for more than 12 months were $7.3 million, which were related to $481.8 million of available-for-sale debt securities.</w:t>
      </w:r>
    </w:p>
    <w:p>
      <w:pPr>
        <w:spacing w:after="0" w:line="6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Unrealized losses related to our available-for-sale debt securities are primarily due to interest rate fluctuations as opposed to credit quality. We do not intend to sell any of the securities in an unrealized loss position and it is not likely that we would be required to sell these securities before recovery of their amortized cost basis, which may be at maturity. We did not recognize any credit losses related to our available-for-sale debt securities during the three and nine months ended April 30, 2024 and 2023.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following table summarizes the amortized cost and fair value of our available-for-sale debt securities as of April 30, 2024, by contractual years-to-maturity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Amortized Cost</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800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Due within one year</w:t>
            </w:r>
          </w:p>
        </w:tc>
        <w:tc>
          <w:tcPr>
            <w:tcW w:w="300" w:type="dxa"/>
            <w:vAlign w:val="bottom"/>
            <w:tcBorders>
              <w:top w:val="single" w:sz="8" w:color="auto"/>
            </w:tcBorders>
            <w:shd w:val="clear" w:color="auto" w:fill="E3E3E3"/>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1,524.4</w:t>
            </w:r>
          </w:p>
        </w:tc>
        <w:tc>
          <w:tcPr>
            <w:tcW w:w="120" w:type="dxa"/>
            <w:vAlign w:val="bottom"/>
            <w:tcBorders>
              <w:top w:val="single" w:sz="8" w:color="E3E3E3"/>
            </w:tcBorders>
            <w:shd w:val="clear" w:color="auto" w:fill="E3E3E3"/>
          </w:tcPr>
          <w:p>
            <w:pPr>
              <w:spacing w:after="0"/>
              <w:rPr>
                <w:sz w:val="21"/>
                <w:szCs w:val="21"/>
                <w:color w:val="auto"/>
              </w:rPr>
            </w:pPr>
          </w:p>
        </w:tc>
        <w:tc>
          <w:tcPr>
            <w:tcW w:w="480" w:type="dxa"/>
            <w:vAlign w:val="bottom"/>
            <w:tcBorders>
              <w:top w:val="single" w:sz="8" w:color="auto"/>
            </w:tcBorders>
            <w:shd w:val="clear" w:color="auto" w:fill="E3E3E3"/>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1,519.2</w:t>
            </w: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Due between one and three years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2,125.5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2,109.2</w:t>
            </w:r>
          </w:p>
        </w:tc>
      </w:tr>
      <w:tr>
        <w:trPr>
          <w:trHeight w:val="251"/>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Due between three and five years</w:t>
            </w:r>
          </w:p>
        </w:tc>
        <w:tc>
          <w:tcPr>
            <w:tcW w:w="300" w:type="dxa"/>
            <w:vAlign w:val="bottom"/>
            <w:shd w:val="clear" w:color="auto" w:fill="E3E3E3"/>
          </w:tcPr>
          <w:p>
            <w:pPr>
              <w:spacing w:after="0"/>
              <w:rPr>
                <w:sz w:val="21"/>
                <w:szCs w:val="21"/>
                <w:color w:val="auto"/>
              </w:rPr>
            </w:pPr>
          </w:p>
        </w:tc>
        <w:tc>
          <w:tcPr>
            <w:tcW w:w="12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1,134.1</w:t>
            </w:r>
          </w:p>
        </w:tc>
        <w:tc>
          <w:tcPr>
            <w:tcW w:w="120" w:type="dxa"/>
            <w:vAlign w:val="bottom"/>
            <w:shd w:val="clear" w:color="auto" w:fill="E3E3E3"/>
          </w:tcPr>
          <w:p>
            <w:pPr>
              <w:spacing w:after="0"/>
              <w:rPr>
                <w:sz w:val="21"/>
                <w:szCs w:val="21"/>
                <w:color w:val="auto"/>
              </w:rPr>
            </w:pPr>
          </w:p>
        </w:tc>
        <w:tc>
          <w:tcPr>
            <w:tcW w:w="480" w:type="dxa"/>
            <w:vAlign w:val="bottom"/>
            <w:shd w:val="clear" w:color="auto" w:fill="E3E3E3"/>
          </w:tcPr>
          <w:p>
            <w:pPr>
              <w:spacing w:after="0"/>
              <w:rPr>
                <w:sz w:val="21"/>
                <w:szCs w:val="21"/>
                <w:color w:val="auto"/>
              </w:rPr>
            </w:pPr>
          </w:p>
        </w:tc>
        <w:tc>
          <w:tcPr>
            <w:tcW w:w="10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1,124.7</w:t>
            </w: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Due between five and ten years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157.1</w:t>
            </w:r>
          </w:p>
        </w:tc>
      </w:tr>
      <w:tr>
        <w:trPr>
          <w:trHeight w:val="244"/>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Due after ten years</w:t>
            </w:r>
          </w:p>
        </w:tc>
        <w:tc>
          <w:tcPr>
            <w:tcW w:w="300" w:type="dxa"/>
            <w:vAlign w:val="bottom"/>
            <w:tcBorders>
              <w:bottom w:val="single" w:sz="8" w:color="auto"/>
            </w:tcBorders>
            <w:shd w:val="clear" w:color="auto" w:fill="E3E3E3"/>
          </w:tcPr>
          <w:p>
            <w:pPr>
              <w:spacing w:after="0"/>
              <w:rPr>
                <w:sz w:val="21"/>
                <w:szCs w:val="21"/>
                <w:color w:val="auto"/>
              </w:rPr>
            </w:pPr>
          </w:p>
        </w:tc>
        <w:tc>
          <w:tcPr>
            <w:tcW w:w="12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114.3</w:t>
            </w:r>
          </w:p>
        </w:tc>
        <w:tc>
          <w:tcPr>
            <w:tcW w:w="120" w:type="dxa"/>
            <w:vAlign w:val="bottom"/>
            <w:shd w:val="clear" w:color="auto" w:fill="E3E3E3"/>
          </w:tcPr>
          <w:p>
            <w:pPr>
              <w:spacing w:after="0"/>
              <w:rPr>
                <w:sz w:val="21"/>
                <w:szCs w:val="21"/>
                <w:color w:val="auto"/>
              </w:rPr>
            </w:pPr>
          </w:p>
        </w:tc>
        <w:tc>
          <w:tcPr>
            <w:tcW w:w="480" w:type="dxa"/>
            <w:vAlign w:val="bottom"/>
            <w:tcBorders>
              <w:bottom w:val="single" w:sz="8" w:color="auto"/>
            </w:tcBorders>
            <w:shd w:val="clear" w:color="auto" w:fill="E3E3E3"/>
          </w:tcPr>
          <w:p>
            <w:pPr>
              <w:spacing w:after="0"/>
              <w:rPr>
                <w:sz w:val="21"/>
                <w:szCs w:val="21"/>
                <w:color w:val="auto"/>
              </w:rPr>
            </w:pPr>
          </w:p>
        </w:tc>
        <w:tc>
          <w:tcPr>
            <w:tcW w:w="10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113.4</w:t>
            </w:r>
          </w:p>
        </w:tc>
      </w:tr>
      <w:tr>
        <w:trPr>
          <w:trHeight w:val="243"/>
        </w:trPr>
        <w:tc>
          <w:tcPr>
            <w:tcW w:w="8000" w:type="dxa"/>
            <w:vAlign w:val="bottom"/>
          </w:tcPr>
          <w:p>
            <w:pPr>
              <w:ind w:left="2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5,056.8</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5,023.6</w:t>
            </w:r>
          </w:p>
        </w:tc>
      </w:tr>
      <w:tr>
        <w:trPr>
          <w:trHeight w:val="21"/>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Marketable Equity Securities</w:t>
      </w:r>
    </w:p>
    <w:p>
      <w:pPr>
        <w:spacing w:after="0" w:line="12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Marketable equity securities consist of money market funds and are included in cash and cash equivalents on our condensed consolidated balance sheets. As of April 30, 2024 and July 31, 2023, the carrying values of our marketable equity securities were $763.9 million and $476.1 million, respectively. There were no unrealized gains or losses recognized for these securities during the three and nine months ended April 30, 2024 and 2023.</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Financing Receivables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short-term and long-term financing receivables as of April 30, 2024 and July 31, 2023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April 30, 2024</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July 31, 2023</w:t>
            </w:r>
          </w:p>
        </w:tc>
      </w:tr>
      <w:tr>
        <w:trPr>
          <w:trHeight w:val="243"/>
        </w:trPr>
        <w:tc>
          <w:tcPr>
            <w:tcW w:w="800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Short-term financing receivables, gross</w:t>
            </w:r>
          </w:p>
        </w:tc>
        <w:tc>
          <w:tcPr>
            <w:tcW w:w="360" w:type="dxa"/>
            <w:vAlign w:val="bottom"/>
            <w:tcBorders>
              <w:top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649.5</w:t>
            </w:r>
          </w:p>
        </w:tc>
        <w:tc>
          <w:tcPr>
            <w:tcW w:w="120" w:type="dxa"/>
            <w:vAlign w:val="bottom"/>
            <w:tcBorders>
              <w:top w:val="single" w:sz="8" w:color="E3E3E3"/>
            </w:tcBorders>
            <w:shd w:val="clear" w:color="auto" w:fill="E3E3E3"/>
          </w:tcPr>
          <w:p>
            <w:pPr>
              <w:spacing w:after="0"/>
              <w:rPr>
                <w:sz w:val="21"/>
                <w:szCs w:val="21"/>
                <w:color w:val="auto"/>
              </w:rPr>
            </w:pPr>
          </w:p>
        </w:tc>
        <w:tc>
          <w:tcPr>
            <w:tcW w:w="380" w:type="dxa"/>
            <w:vAlign w:val="bottom"/>
            <w:tcBorders>
              <w:top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435.1</w:t>
            </w: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Unearned income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244"/>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Allowance for credit losses</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(3.4)</w:t>
            </w:r>
          </w:p>
        </w:tc>
      </w:tr>
      <w:tr>
        <w:trPr>
          <w:trHeight w:val="243"/>
        </w:trPr>
        <w:tc>
          <w:tcPr>
            <w:tcW w:w="8000" w:type="dxa"/>
            <w:vAlign w:val="bottom"/>
          </w:tcPr>
          <w:p>
            <w:pPr>
              <w:ind w:left="240"/>
              <w:spacing w:after="0"/>
              <w:rPr>
                <w:sz w:val="20"/>
                <w:szCs w:val="20"/>
                <w:color w:val="auto"/>
              </w:rPr>
            </w:pPr>
            <w:r>
              <w:rPr>
                <w:rFonts w:ascii="Arial" w:cs="Arial" w:eastAsia="Arial" w:hAnsi="Arial"/>
                <w:sz w:val="16"/>
                <w:szCs w:val="16"/>
                <w:color w:val="auto"/>
              </w:rPr>
              <w:t>Short-term financing receivables, net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572.3</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w:t>
            </w:r>
          </w:p>
        </w:tc>
      </w:tr>
      <w:tr>
        <w:trPr>
          <w:trHeight w:val="20"/>
        </w:trPr>
        <w:tc>
          <w:tcPr>
            <w:tcW w:w="8000" w:type="dxa"/>
            <w:vAlign w:val="bottom"/>
            <w:tcBorders>
              <w:bottom w:val="single" w:sz="8" w:color="E3E3E3"/>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Long-term financing receivables, gross</w:t>
            </w:r>
          </w:p>
        </w:tc>
        <w:tc>
          <w:tcPr>
            <w:tcW w:w="36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951.3</w:t>
            </w:r>
          </w:p>
        </w:tc>
        <w:tc>
          <w:tcPr>
            <w:tcW w:w="120" w:type="dxa"/>
            <w:vAlign w:val="bottom"/>
            <w:shd w:val="clear" w:color="auto" w:fill="E3E3E3"/>
          </w:tcPr>
          <w:p>
            <w:pPr>
              <w:spacing w:after="0"/>
              <w:rPr>
                <w:sz w:val="20"/>
                <w:szCs w:val="20"/>
                <w:color w:val="auto"/>
              </w:rPr>
            </w:pPr>
          </w:p>
        </w:tc>
        <w:tc>
          <w:tcPr>
            <w:tcW w:w="380" w:type="dxa"/>
            <w:vAlign w:val="bottom"/>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698.6</w:t>
            </w: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Unearned income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44"/>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Allowance for credit losses</w:t>
            </w:r>
          </w:p>
        </w:tc>
        <w:tc>
          <w:tcPr>
            <w:tcW w:w="36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(6.1)</w:t>
            </w:r>
          </w:p>
        </w:tc>
      </w:tr>
      <w:tr>
        <w:trPr>
          <w:trHeight w:val="243"/>
        </w:trPr>
        <w:tc>
          <w:tcPr>
            <w:tcW w:w="8000" w:type="dxa"/>
            <w:vAlign w:val="bottom"/>
          </w:tcPr>
          <w:p>
            <w:pPr>
              <w:ind w:left="240"/>
              <w:spacing w:after="0"/>
              <w:rPr>
                <w:sz w:val="20"/>
                <w:szCs w:val="20"/>
                <w:color w:val="auto"/>
              </w:rPr>
            </w:pPr>
            <w:r>
              <w:rPr>
                <w:rFonts w:ascii="Arial" w:cs="Arial" w:eastAsia="Arial" w:hAnsi="Arial"/>
                <w:sz w:val="16"/>
                <w:szCs w:val="16"/>
                <w:color w:val="auto"/>
              </w:rPr>
              <w:t>Long-term financing receivables, net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882.5</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w:t>
            </w: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Our financing receivables portfolio primarily consisted of high-quality investment-grade receivables as of April 30, 2024 and July 31, 2023. There was no significant activity in allowance for credit losses during the three and nine months ended April 30, 2024 and 2023. Past due amounts on financing receivables were not material as of April 30, 2024 and July 31, 2023.</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Derivative Instruments</w:t>
      </w:r>
    </w:p>
    <w:p>
      <w:pPr>
        <w:spacing w:after="0" w:line="11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are exposed to foreign currency exchange risk. Our revenue is transacted in U.S. dollars, however, a portion of our operating expenditures are incurred outside of the United States and are denominated in foreign currencies, making them subject to fluctuations in foreign currency exchange rates. We enter into foreign currency derivative contracts with maturities of 24 months or less, which we designate as cash flow hedges, to manage the foreign currency exchange risk associated with our operating expenditures.</w:t>
      </w:r>
    </w:p>
    <w:p>
      <w:pPr>
        <w:spacing w:after="0" w:line="78"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As of April 30, 2024 and July 31, 2023, the total notional amount of our outstanding foreign currency forward contracts was $1.3 billion and $957.5 million, respectively. Refer to Note 3. Fair Value Measurements for the fair value of our derivative instruments as reported on our condensed consolidated balance sheets as of April 30, 2024 and July 31, 2023.</w:t>
      </w:r>
    </w:p>
    <w:p>
      <w:pPr>
        <w:spacing w:after="0" w:line="7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of April 30, 2024, unrealized gains and losses in accumulated other comprehensive income (“AOCI”) related to our cash flow hedges were a $19.1 million net loss, of which $13.7 million in losses are expected to be recognized into earnings within the next 12 months. As of July 31, 2023, unrealized gains and losses in AOCI related to our cash flow hedges were a $0.7 million net gain.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Dig Security Solutions Ltd.</w:t>
      </w:r>
    </w:p>
    <w:p>
      <w:pPr>
        <w:spacing w:after="0" w:line="125"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On December 5, 2023, we completed our acquisition of Dig Security Solutions Ltd. (“Dig”), a privately-held cyber security company. We expect the acquisition will enhance our Prisma Cloud capabilities with a data security posture management solution that is intended to provide customers with visibility into, and secure data stored across, their multi-cloud environments. The total purchase consideration for the acquisition of Dig was $255.4 million, which consisted of the following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43"/>
        </w:trPr>
        <w:tc>
          <w:tcPr>
            <w:tcW w:w="9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247.6</w:t>
            </w:r>
          </w:p>
        </w:tc>
      </w:tr>
      <w:tr>
        <w:trPr>
          <w:trHeight w:val="236"/>
        </w:trPr>
        <w:tc>
          <w:tcPr>
            <w:tcW w:w="9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Fair value of replacement awards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w:t>
            </w:r>
          </w:p>
        </w:tc>
      </w:tr>
      <w:tr>
        <w:trPr>
          <w:trHeight w:val="268"/>
        </w:trPr>
        <w:tc>
          <w:tcPr>
            <w:tcW w:w="97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255.4</w:t>
            </w:r>
          </w:p>
        </w:tc>
      </w:tr>
      <w:tr>
        <w:trPr>
          <w:trHeight w:val="20"/>
        </w:trPr>
        <w:tc>
          <w:tcPr>
            <w:tcW w:w="976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As part of the acquisition, we issued replacement equity awards, which included 0.2 million shares of our restricted common stock. The total fair value of the replacement equity awards was $72.0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13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ectPr>
          <w:pgSz w:w="11900" w:h="16838" w:orient="portrait"/>
          <w:cols w:equalWidth="0" w:num="1">
            <w:col w:w="11240"/>
          </w:cols>
          <w:pgMar w:left="320" w:top="233" w:right="339" w:bottom="1440" w:gutter="0" w:footer="0" w:header="0"/>
        </w:sect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restricted cash</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Amount</w:t>
      </w:r>
    </w:p>
    <w:p>
      <w:pPr>
        <w:spacing w:after="0" w:line="77" w:lineRule="exact"/>
        <w:rPr>
          <w:sz w:val="20"/>
          <w:szCs w:val="20"/>
          <w:color w:val="auto"/>
        </w:rPr>
      </w:pPr>
    </w:p>
    <w:p>
      <w:pPr>
        <w:ind w:left="980" w:hanging="97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192.2</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010000"/>
        </w:rPr>
        <w:t>45.4</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010000"/>
        </w:rPr>
        <w:t>22.1</w:t>
      </w:r>
    </w:p>
    <w:p>
      <w:pPr>
        <w:spacing w:after="0" w:line="59"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(4.3)</w:t>
      </w:r>
    </w:p>
    <w:p>
      <w:pPr>
        <w:spacing w:after="0" w:line="73" w:lineRule="exact"/>
        <w:rPr>
          <w:sz w:val="20"/>
          <w:szCs w:val="20"/>
          <w:color w:val="auto"/>
        </w:rPr>
      </w:pPr>
    </w:p>
    <w:p>
      <w:pPr>
        <w:ind w:left="980" w:hanging="97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255.4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9340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60" w:space="720"/>
            <w:col w:w="1460"/>
          </w:cols>
          <w:pgMar w:left="320" w:top="233" w:right="339" w:bottom="1440" w:gutter="0" w:footer="0" w:header="0"/>
          <w:type w:val="continuous"/>
        </w:sectPr>
      </w:pPr>
    </w:p>
    <w:p>
      <w:pPr>
        <w:spacing w:after="0" w:line="62"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Goodwill generated from this business combination is primarily attributable to the assembled workforce and expected post-acquisition synergies from integrating Dig technology into our platforms. The goodwill is not expected to be deducible for income tax purposes.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the identified intangible asset acquired (in millions, except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Estimated Useful</w:t>
            </w:r>
          </w:p>
        </w:tc>
      </w:tr>
      <w:tr>
        <w:trPr>
          <w:trHeight w:val="205"/>
        </w:trPr>
        <w:tc>
          <w:tcPr>
            <w:tcW w:w="49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Life</w:t>
            </w:r>
          </w:p>
        </w:tc>
      </w:tr>
      <w:tr>
        <w:trPr>
          <w:trHeight w:val="243"/>
        </w:trPr>
        <w:tc>
          <w:tcPr>
            <w:tcW w:w="49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Developed technology</w:t>
            </w:r>
          </w:p>
        </w:tc>
        <w:tc>
          <w:tcPr>
            <w:tcW w:w="3720" w:type="dxa"/>
            <w:vAlign w:val="bottom"/>
            <w:tcBorders>
              <w:top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45.4</w:t>
            </w:r>
          </w:p>
        </w:tc>
        <w:tc>
          <w:tcPr>
            <w:tcW w:w="100" w:type="dxa"/>
            <w:vAlign w:val="bottom"/>
            <w:tcBorders>
              <w:top w:val="single" w:sz="8" w:color="DBDBDB"/>
            </w:tcBorders>
            <w:shd w:val="clear" w:color="auto" w:fill="DBDBDB"/>
          </w:tcPr>
          <w:p>
            <w:pPr>
              <w:spacing w:after="0"/>
              <w:rPr>
                <w:sz w:val="21"/>
                <w:szCs w:val="21"/>
                <w:color w:val="auto"/>
              </w:rPr>
            </w:pP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 years</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Talon Cyber Security Ltd.</w:t>
      </w:r>
    </w:p>
    <w:p>
      <w:pPr>
        <w:spacing w:after="0" w:line="11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On December 28, 2023, we completed our acquisition of Talon Cyber Security Ltd. (“Talon”), a privately-held cyber security company. We expect the acquisition will support Prisma SASE’s approach to provide secure access to business applications for unmanaged and personal devices with an enterprise browser. The total purchase consideration for the acquisition of Talon was $458.6 million, which consisted of the following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43"/>
        </w:trPr>
        <w:tc>
          <w:tcPr>
            <w:tcW w:w="9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439.0</w:t>
            </w:r>
          </w:p>
        </w:tc>
      </w:tr>
      <w:tr>
        <w:trPr>
          <w:trHeight w:val="236"/>
        </w:trPr>
        <w:tc>
          <w:tcPr>
            <w:tcW w:w="9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Fair value of replacement awards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19.6</w:t>
            </w:r>
          </w:p>
        </w:tc>
      </w:tr>
      <w:tr>
        <w:trPr>
          <w:trHeight w:val="268"/>
        </w:trPr>
        <w:tc>
          <w:tcPr>
            <w:tcW w:w="97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458.6</w:t>
            </w:r>
          </w:p>
        </w:tc>
      </w:tr>
      <w:tr>
        <w:trPr>
          <w:trHeight w:val="20"/>
        </w:trPr>
        <w:tc>
          <w:tcPr>
            <w:tcW w:w="976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part of the acquisition, we issued replacement equity awards, which included 0.3 million shares of our restricted common stock. The total fair value of the replacement equity awards was $109.6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ectPr>
          <w:pgSz w:w="11900" w:h="16838" w:orient="portrait"/>
          <w:cols w:equalWidth="0" w:num="1">
            <w:col w:w="11240"/>
          </w:cols>
          <w:pgMar w:left="320" w:top="233" w:right="339" w:bottom="1440" w:gutter="0" w:footer="0" w:header="0"/>
        </w:sect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Identified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restricted cash</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Amount</w:t>
      </w:r>
    </w:p>
    <w:p>
      <w:pPr>
        <w:spacing w:after="0" w:line="77" w:lineRule="exact"/>
        <w:rPr>
          <w:sz w:val="20"/>
          <w:szCs w:val="20"/>
          <w:color w:val="auto"/>
        </w:rPr>
      </w:pPr>
    </w:p>
    <w:p>
      <w:pPr>
        <w:ind w:left="980" w:hanging="97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253.7</w:t>
      </w:r>
    </w:p>
    <w:p>
      <w:pPr>
        <w:spacing w:after="0" w:line="59"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010000"/>
        </w:rPr>
        <w:t>131.4</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010000"/>
        </w:rPr>
        <w:t>53.9</w:t>
      </w:r>
    </w:p>
    <w:p>
      <w:pPr>
        <w:spacing w:after="0" w:line="59"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19.6</w:t>
      </w:r>
    </w:p>
    <w:p>
      <w:pPr>
        <w:spacing w:after="0" w:line="73" w:lineRule="exact"/>
        <w:rPr>
          <w:sz w:val="20"/>
          <w:szCs w:val="20"/>
          <w:color w:val="auto"/>
        </w:rPr>
      </w:pPr>
    </w:p>
    <w:p>
      <w:pPr>
        <w:ind w:left="980" w:hanging="97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9340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60" w:space="720"/>
            <w:col w:w="1460"/>
          </w:cols>
          <w:pgMar w:left="320" w:top="233" w:right="339" w:bottom="1440" w:gutter="0" w:footer="0" w:header="0"/>
          <w:type w:val="continuous"/>
        </w:sectPr>
      </w:pPr>
    </w:p>
    <w:p>
      <w:pPr>
        <w:spacing w:after="0" w:line="48"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Goodwill generated from this business combination is primarily attributable to the assembled workforce and expected post-acquisition synergies from integrating Talon technology into our platforms. The goodwill is not expected to be deductible for income tax purposes.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the identified intangible asset acquired (in millions, except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Estimated Useful</w:t>
            </w:r>
          </w:p>
        </w:tc>
      </w:tr>
      <w:tr>
        <w:trPr>
          <w:trHeight w:val="219"/>
        </w:trPr>
        <w:tc>
          <w:tcPr>
            <w:tcW w:w="49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Fair Value</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Life</w:t>
            </w:r>
          </w:p>
        </w:tc>
      </w:tr>
      <w:tr>
        <w:trPr>
          <w:trHeight w:val="243"/>
        </w:trPr>
        <w:tc>
          <w:tcPr>
            <w:tcW w:w="49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Developed technology</w:t>
            </w:r>
          </w:p>
        </w:tc>
        <w:tc>
          <w:tcPr>
            <w:tcW w:w="3720" w:type="dxa"/>
            <w:vAlign w:val="bottom"/>
            <w:tcBorders>
              <w:top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DBDBDB"/>
          </w:tcPr>
          <w:p>
            <w:pPr>
              <w:jc w:val="right"/>
              <w:ind w:right="4"/>
              <w:spacing w:after="0"/>
              <w:rPr>
                <w:sz w:val="20"/>
                <w:szCs w:val="20"/>
                <w:color w:val="auto"/>
              </w:rPr>
            </w:pPr>
            <w:r>
              <w:rPr>
                <w:rFonts w:ascii="Arial" w:cs="Arial" w:eastAsia="Arial" w:hAnsi="Arial"/>
                <w:sz w:val="16"/>
                <w:szCs w:val="16"/>
                <w:color w:val="auto"/>
              </w:rPr>
              <w:t>131.4</w:t>
            </w:r>
          </w:p>
        </w:tc>
        <w:tc>
          <w:tcPr>
            <w:tcW w:w="100" w:type="dxa"/>
            <w:vAlign w:val="bottom"/>
            <w:tcBorders>
              <w:top w:val="single" w:sz="8" w:color="DBDBDB"/>
            </w:tcBorders>
            <w:shd w:val="clear" w:color="auto" w:fill="DBDBDB"/>
          </w:tcPr>
          <w:p>
            <w:pPr>
              <w:spacing w:after="0"/>
              <w:rPr>
                <w:sz w:val="21"/>
                <w:szCs w:val="21"/>
                <w:color w:val="auto"/>
              </w:rPr>
            </w:pP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 years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Goodwill and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details of our goodwill during the nine months ended April 30, 2024 </w:t>
      </w:r>
      <w:r>
        <w:rPr>
          <w:rFonts w:ascii="Arial" w:cs="Arial" w:eastAsia="Arial" w:hAnsi="Arial"/>
          <w:sz w:val="16"/>
          <w:szCs w:val="16"/>
          <w:i w:val="1"/>
          <w:iCs w:val="1"/>
          <w:color w:val="auto"/>
        </w:rPr>
        <w:t>(in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3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as of July 31, 2023</w:t>
            </w:r>
          </w:p>
        </w:tc>
        <w:tc>
          <w:tcPr>
            <w:tcW w:w="1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0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2,926.8</w:t>
            </w:r>
          </w:p>
        </w:tc>
        <w:tc>
          <w:tcPr>
            <w:tcW w:w="0" w:type="dxa"/>
            <w:vAlign w:val="bottom"/>
          </w:tcPr>
          <w:p>
            <w:pPr>
              <w:spacing w:after="0"/>
              <w:rPr>
                <w:sz w:val="1"/>
                <w:szCs w:val="1"/>
                <w:color w:val="auto"/>
              </w:rPr>
            </w:pPr>
          </w:p>
        </w:tc>
      </w:tr>
      <w:tr>
        <w:trPr>
          <w:trHeight w:val="236"/>
        </w:trPr>
        <w:tc>
          <w:tcPr>
            <w:tcW w:w="322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Goodwill acquired</w:t>
            </w:r>
          </w:p>
        </w:tc>
        <w:tc>
          <w:tcPr>
            <w:tcW w:w="14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12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1020" w:type="dxa"/>
            <w:vAlign w:val="bottom"/>
            <w:tcBorders>
              <w:bottom w:val="single" w:sz="8" w:color="DBDBDB"/>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10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9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445.9</w:t>
            </w:r>
          </w:p>
        </w:tc>
        <w:tc>
          <w:tcPr>
            <w:tcW w:w="0" w:type="dxa"/>
            <w:vAlign w:val="bottom"/>
          </w:tcPr>
          <w:p>
            <w:pPr>
              <w:spacing w:after="0"/>
              <w:rPr>
                <w:sz w:val="1"/>
                <w:szCs w:val="1"/>
                <w:color w:val="auto"/>
              </w:rPr>
            </w:pPr>
          </w:p>
        </w:tc>
      </w:tr>
      <w:tr>
        <w:trPr>
          <w:trHeight w:val="263"/>
        </w:trPr>
        <w:tc>
          <w:tcPr>
            <w:tcW w:w="3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as of April 30, 2024</w:t>
            </w:r>
          </w:p>
        </w:tc>
        <w:tc>
          <w:tcPr>
            <w:tcW w:w="14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0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1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0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3,372.7</w:t>
            </w:r>
          </w:p>
        </w:tc>
        <w:tc>
          <w:tcPr>
            <w:tcW w:w="0" w:type="dxa"/>
            <w:vAlign w:val="bottom"/>
          </w:tcPr>
          <w:p>
            <w:pPr>
              <w:spacing w:after="0"/>
              <w:rPr>
                <w:sz w:val="1"/>
                <w:szCs w:val="1"/>
                <w:color w:val="auto"/>
              </w:rPr>
            </w:pPr>
          </w:p>
        </w:tc>
      </w:tr>
      <w:tr>
        <w:trPr>
          <w:trHeight w:val="20"/>
        </w:trPr>
        <w:tc>
          <w:tcPr>
            <w:tcW w:w="32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6"/>
                <w:szCs w:val="16"/>
                <w:b w:val="1"/>
                <w:bCs w:val="1"/>
                <w:i w:val="1"/>
                <w:iCs w:val="1"/>
                <w:color w:val="auto"/>
              </w:rPr>
              <w:t>Purchased Intangible Assets</w:t>
            </w:r>
          </w:p>
        </w:tc>
        <w:tc>
          <w:tcPr>
            <w:tcW w:w="14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780" w:type="dxa"/>
            <w:vAlign w:val="bottom"/>
            <w:gridSpan w:val="14"/>
          </w:tcPr>
          <w:p>
            <w:pPr>
              <w:spacing w:after="0"/>
              <w:rPr>
                <w:sz w:val="20"/>
                <w:szCs w:val="20"/>
                <w:color w:val="auto"/>
              </w:rPr>
            </w:pPr>
            <w:r>
              <w:rPr>
                <w:rFonts w:ascii="Arial" w:cs="Arial" w:eastAsia="Arial" w:hAnsi="Arial"/>
                <w:sz w:val="16"/>
                <w:szCs w:val="16"/>
                <w:color w:val="auto"/>
              </w:rPr>
              <w:t>The following table presents details of our purchased intangible assets as of April 30, 2024 and July 31, 2023 (in millions):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April 30, 2024</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July 31, 2023</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6"/>
                <w:szCs w:val="16"/>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322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40" w:type="dxa"/>
            <w:vAlign w:val="bottom"/>
            <w:tcBorders>
              <w:top w:val="single" w:sz="8" w:color="auto"/>
            </w:tcBorders>
            <w:shd w:val="clear" w:color="auto" w:fill="E3E3E3"/>
          </w:tcPr>
          <w:p>
            <w:pPr>
              <w:spacing w:after="0"/>
              <w:rPr>
                <w:sz w:val="21"/>
                <w:szCs w:val="21"/>
                <w:color w:val="auto"/>
              </w:rPr>
            </w:pPr>
          </w:p>
        </w:tc>
        <w:tc>
          <w:tcPr>
            <w:tcW w:w="110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120" w:type="dxa"/>
            <w:vAlign w:val="bottom"/>
            <w:tcBorders>
              <w:top w:val="single" w:sz="8" w:color="auto"/>
            </w:tcBorders>
            <w:shd w:val="clear" w:color="auto" w:fill="E3E3E3"/>
          </w:tcPr>
          <w:p>
            <w:pPr>
              <w:spacing w:after="0"/>
              <w:rPr>
                <w:sz w:val="21"/>
                <w:szCs w:val="21"/>
                <w:color w:val="auto"/>
              </w:rPr>
            </w:pPr>
          </w:p>
        </w:tc>
        <w:tc>
          <w:tcPr>
            <w:tcW w:w="112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spacing w:after="0"/>
              <w:rPr>
                <w:sz w:val="21"/>
                <w:szCs w:val="21"/>
                <w:color w:val="auto"/>
              </w:rPr>
            </w:pPr>
          </w:p>
        </w:tc>
        <w:tc>
          <w:tcPr>
            <w:tcW w:w="1020" w:type="dxa"/>
            <w:vAlign w:val="bottom"/>
            <w:tcBorders>
              <w:top w:val="single" w:sz="8" w:color="auto"/>
            </w:tcBorders>
            <w:shd w:val="clear" w:color="auto" w:fill="E3E3E3"/>
          </w:tcPr>
          <w:p>
            <w:pPr>
              <w:spacing w:after="0"/>
              <w:rPr>
                <w:sz w:val="21"/>
                <w:szCs w:val="21"/>
                <w:color w:val="auto"/>
              </w:rPr>
            </w:pPr>
          </w:p>
        </w:tc>
        <w:tc>
          <w:tcPr>
            <w:tcW w:w="10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spacing w:after="0"/>
              <w:rPr>
                <w:sz w:val="21"/>
                <w:szCs w:val="21"/>
                <w:color w:val="auto"/>
              </w:rPr>
            </w:pPr>
          </w:p>
        </w:tc>
        <w:tc>
          <w:tcPr>
            <w:tcW w:w="110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140" w:type="dxa"/>
            <w:vAlign w:val="bottom"/>
            <w:tcBorders>
              <w:top w:val="single" w:sz="8" w:color="auto"/>
            </w:tcBorders>
            <w:shd w:val="clear" w:color="auto" w:fill="E3E3E3"/>
          </w:tcPr>
          <w:p>
            <w:pPr>
              <w:spacing w:after="0"/>
              <w:rPr>
                <w:sz w:val="21"/>
                <w:szCs w:val="21"/>
                <w:color w:val="auto"/>
              </w:rPr>
            </w:pPr>
          </w:p>
        </w:tc>
        <w:tc>
          <w:tcPr>
            <w:tcW w:w="98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auto"/>
            </w:tcBorders>
            <w:shd w:val="clear" w:color="auto" w:fill="E3E3E3"/>
          </w:tcPr>
          <w:p>
            <w:pPr>
              <w:spacing w:after="0"/>
              <w:rPr>
                <w:sz w:val="21"/>
                <w:szCs w:val="21"/>
                <w:color w:val="auto"/>
              </w:rPr>
            </w:pPr>
          </w:p>
        </w:tc>
        <w:tc>
          <w:tcPr>
            <w:tcW w:w="120" w:type="dxa"/>
            <w:vAlign w:val="bottom"/>
            <w:tcBorders>
              <w:top w:val="single" w:sz="8" w:color="E3E3E3"/>
            </w:tcBorders>
            <w:shd w:val="clear" w:color="auto" w:fill="E3E3E3"/>
          </w:tcPr>
          <w:p>
            <w:pPr>
              <w:spacing w:after="0"/>
              <w:rPr>
                <w:sz w:val="21"/>
                <w:szCs w:val="21"/>
                <w:color w:val="auto"/>
              </w:rPr>
            </w:pPr>
          </w:p>
        </w:tc>
        <w:tc>
          <w:tcPr>
            <w:tcW w:w="240" w:type="dxa"/>
            <w:vAlign w:val="bottom"/>
            <w:tcBorders>
              <w:top w:val="single" w:sz="8" w:color="auto"/>
            </w:tcBorders>
            <w:shd w:val="clear" w:color="auto" w:fill="E3E3E3"/>
          </w:tcPr>
          <w:p>
            <w:pPr>
              <w:spacing w:after="0"/>
              <w:rPr>
                <w:sz w:val="21"/>
                <w:szCs w:val="21"/>
                <w:color w:val="auto"/>
              </w:rPr>
            </w:pPr>
          </w:p>
        </w:tc>
        <w:tc>
          <w:tcPr>
            <w:tcW w:w="1000" w:type="dxa"/>
            <w:vAlign w:val="bottom"/>
            <w:tcBorders>
              <w:top w:val="single" w:sz="8" w:color="auto"/>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220" w:type="dxa"/>
            <w:vAlign w:val="bottom"/>
          </w:tcPr>
          <w:p>
            <w:pPr>
              <w:ind w:left="24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813.9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(498.7)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315.2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51"/>
        </w:trPr>
        <w:tc>
          <w:tcPr>
            <w:tcW w:w="3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Customer relationships</w:t>
            </w:r>
          </w:p>
        </w:tc>
        <w:tc>
          <w:tcPr>
            <w:tcW w:w="14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172.7</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172.7</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00" w:type="dxa"/>
            <w:vAlign w:val="bottom"/>
            <w:gridSpan w:val="2"/>
            <w:shd w:val="clear" w:color="auto" w:fill="E3E3E3"/>
          </w:tcPr>
          <w:p>
            <w:pPr>
              <w:jc w:val="right"/>
              <w:ind w:right="20"/>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35"/>
        </w:trPr>
        <w:tc>
          <w:tcPr>
            <w:tcW w:w="3220" w:type="dxa"/>
            <w:vAlign w:val="bottom"/>
          </w:tcPr>
          <w:p>
            <w:pPr>
              <w:ind w:left="240"/>
              <w:spacing w:after="0"/>
              <w:rPr>
                <w:sz w:val="20"/>
                <w:szCs w:val="20"/>
                <w:color w:val="auto"/>
              </w:rPr>
            </w:pPr>
            <w:r>
              <w:rPr>
                <w:rFonts w:ascii="Arial" w:cs="Arial" w:eastAsia="Arial" w:hAnsi="Arial"/>
                <w:sz w:val="16"/>
                <w:szCs w:val="16"/>
                <w:color w:val="auto"/>
              </w:rPr>
              <w:t>Acquired intellectual property</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51"/>
        </w:trPr>
        <w:tc>
          <w:tcPr>
            <w:tcW w:w="3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Trade name and trademarks</w:t>
            </w:r>
          </w:p>
        </w:tc>
        <w:tc>
          <w:tcPr>
            <w:tcW w:w="14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1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00" w:type="dxa"/>
            <w:vAlign w:val="bottom"/>
            <w:gridSpan w:val="2"/>
            <w:shd w:val="clear" w:color="auto" w:fill="E3E3E3"/>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322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E3E3E3"/>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8"/>
        </w:trPr>
        <w:tc>
          <w:tcPr>
            <w:tcW w:w="3220" w:type="dxa"/>
            <w:vAlign w:val="bottom"/>
            <w:shd w:val="clear" w:color="auto" w:fill="E3E3E3"/>
          </w:tcPr>
          <w:p>
            <w:pPr>
              <w:ind w:left="460"/>
              <w:spacing w:after="0"/>
              <w:rPr>
                <w:sz w:val="20"/>
                <w:szCs w:val="20"/>
                <w:color w:val="auto"/>
              </w:rPr>
            </w:pPr>
            <w:r>
              <w:rPr>
                <w:rFonts w:ascii="Arial" w:cs="Arial" w:eastAsia="Arial" w:hAnsi="Arial"/>
                <w:sz w:val="16"/>
                <w:szCs w:val="16"/>
                <w:color w:val="auto"/>
              </w:rPr>
              <w:t>Total intangible assets subject to</w:t>
            </w:r>
          </w:p>
        </w:tc>
        <w:tc>
          <w:tcPr>
            <w:tcW w:w="140" w:type="dxa"/>
            <w:vAlign w:val="bottom"/>
            <w:shd w:val="clear" w:color="auto" w:fill="E3E3E3"/>
          </w:tcPr>
          <w:p>
            <w:pPr>
              <w:spacing w:after="0"/>
              <w:rPr>
                <w:sz w:val="16"/>
                <w:szCs w:val="16"/>
                <w:color w:val="auto"/>
              </w:rPr>
            </w:pPr>
          </w:p>
        </w:tc>
        <w:tc>
          <w:tcPr>
            <w:tcW w:w="1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12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10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98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100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20" w:type="dxa"/>
            <w:vAlign w:val="bottom"/>
            <w:shd w:val="clear" w:color="auto" w:fill="E3E3E3"/>
          </w:tcPr>
          <w:p>
            <w:pPr>
              <w:ind w:left="460"/>
              <w:spacing w:after="0"/>
              <w:rPr>
                <w:sz w:val="20"/>
                <w:szCs w:val="20"/>
                <w:color w:val="auto"/>
              </w:rPr>
            </w:pPr>
            <w:r>
              <w:rPr>
                <w:rFonts w:ascii="Arial" w:cs="Arial" w:eastAsia="Arial" w:hAnsi="Arial"/>
                <w:sz w:val="16"/>
                <w:szCs w:val="16"/>
                <w:color w:val="auto"/>
              </w:rPr>
              <w:t>amortization</w:t>
            </w:r>
          </w:p>
        </w:tc>
        <w:tc>
          <w:tcPr>
            <w:tcW w:w="14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1,013.9</w:t>
            </w:r>
          </w:p>
        </w:tc>
        <w:tc>
          <w:tcPr>
            <w:tcW w:w="12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(606.0)</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407.9</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830.8</w:t>
            </w:r>
          </w:p>
        </w:tc>
        <w:tc>
          <w:tcPr>
            <w:tcW w:w="12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100" w:type="dxa"/>
            <w:vAlign w:val="bottom"/>
            <w:gridSpan w:val="2"/>
            <w:shd w:val="clear" w:color="auto" w:fill="E3E3E3"/>
          </w:tcPr>
          <w:p>
            <w:pPr>
              <w:jc w:val="right"/>
              <w:ind w:right="20"/>
              <w:spacing w:after="0"/>
              <w:rPr>
                <w:sz w:val="20"/>
                <w:szCs w:val="20"/>
                <w:color w:val="auto"/>
              </w:rPr>
            </w:pPr>
            <w:r>
              <w:rPr>
                <w:rFonts w:ascii="Arial" w:cs="Arial" w:eastAsia="Arial" w:hAnsi="Arial"/>
                <w:sz w:val="16"/>
                <w:szCs w:val="16"/>
                <w:color w:val="auto"/>
              </w:rPr>
              <w:t>(519.3)</w:t>
            </w:r>
          </w:p>
        </w:tc>
        <w:tc>
          <w:tcPr>
            <w:tcW w:w="120" w:type="dxa"/>
            <w:vAlign w:val="bottom"/>
            <w:shd w:val="clear" w:color="auto" w:fill="E3E3E3"/>
          </w:tcPr>
          <w:p>
            <w:pPr>
              <w:spacing w:after="0"/>
              <w:rPr>
                <w:sz w:val="21"/>
                <w:szCs w:val="21"/>
                <w:color w:val="auto"/>
              </w:rPr>
            </w:pPr>
          </w:p>
        </w:tc>
        <w:tc>
          <w:tcPr>
            <w:tcW w:w="240" w:type="dxa"/>
            <w:vAlign w:val="bottom"/>
            <w:shd w:val="clear" w:color="auto" w:fill="E3E3E3"/>
          </w:tcPr>
          <w:p>
            <w:pPr>
              <w:spacing w:after="0"/>
              <w:rPr>
                <w:sz w:val="21"/>
                <w:szCs w:val="21"/>
                <w:color w:val="auto"/>
              </w:rPr>
            </w:pPr>
          </w:p>
        </w:tc>
        <w:tc>
          <w:tcPr>
            <w:tcW w:w="10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202"/>
        </w:trPr>
        <w:tc>
          <w:tcPr>
            <w:tcW w:w="3220" w:type="dxa"/>
            <w:vAlign w:val="bottom"/>
          </w:tcPr>
          <w:p>
            <w:pPr>
              <w:ind w:left="20"/>
              <w:spacing w:after="0"/>
              <w:rPr>
                <w:sz w:val="20"/>
                <w:szCs w:val="20"/>
                <w:color w:val="auto"/>
              </w:rPr>
            </w:pPr>
            <w:r>
              <w:rPr>
                <w:rFonts w:ascii="Arial" w:cs="Arial" w:eastAsia="Arial" w:hAnsi="Arial"/>
                <w:sz w:val="16"/>
                <w:szCs w:val="16"/>
                <w:color w:val="auto"/>
              </w:rPr>
              <w:t>Intangible assets not subject to</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In-process research and development</w:t>
            </w:r>
          </w:p>
        </w:tc>
        <w:tc>
          <w:tcPr>
            <w:tcW w:w="140" w:type="dxa"/>
            <w:vAlign w:val="bottom"/>
            <w:shd w:val="clear" w:color="auto" w:fill="E3E3E3"/>
          </w:tcPr>
          <w:p>
            <w:pPr>
              <w:spacing w:after="0"/>
              <w:rPr>
                <w:sz w:val="20"/>
                <w:szCs w:val="20"/>
                <w:color w:val="auto"/>
              </w:rPr>
            </w:pPr>
          </w:p>
        </w:tc>
        <w:tc>
          <w:tcPr>
            <w:tcW w:w="12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E3E3E3"/>
          </w:tcPr>
          <w:p>
            <w:pPr>
              <w:spacing w:after="0"/>
              <w:rPr>
                <w:sz w:val="20"/>
                <w:szCs w:val="20"/>
                <w:color w:val="auto"/>
              </w:rPr>
            </w:pPr>
          </w:p>
        </w:tc>
        <w:tc>
          <w:tcPr>
            <w:tcW w:w="1240" w:type="dxa"/>
            <w:vAlign w:val="bottom"/>
            <w:gridSpan w:val="2"/>
            <w:shd w:val="clear" w:color="auto" w:fill="E3E3E3"/>
          </w:tcPr>
          <w:p>
            <w:pPr>
              <w:ind w:left="90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0"/>
                <w:szCs w:val="20"/>
                <w:color w:val="auto"/>
              </w:rPr>
            </w:pPr>
          </w:p>
        </w:tc>
        <w:tc>
          <w:tcPr>
            <w:tcW w:w="1120" w:type="dxa"/>
            <w:vAlign w:val="bottom"/>
            <w:gridSpan w:val="2"/>
            <w:shd w:val="clear" w:color="auto" w:fill="E3E3E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spacing w:after="0"/>
              <w:rPr>
                <w:sz w:val="20"/>
                <w:szCs w:val="20"/>
                <w:color w:val="auto"/>
              </w:rPr>
            </w:pPr>
          </w:p>
        </w:tc>
        <w:tc>
          <w:tcPr>
            <w:tcW w:w="1100" w:type="dxa"/>
            <w:vAlign w:val="bottom"/>
            <w:shd w:val="clear" w:color="auto" w:fill="E3E3E3"/>
          </w:tcPr>
          <w:p>
            <w:pPr>
              <w:jc w:val="right"/>
              <w:ind w:right="61"/>
              <w:spacing w:after="0"/>
              <w:rPr>
                <w:sz w:val="20"/>
                <w:szCs w:val="20"/>
                <w:color w:val="auto"/>
              </w:rPr>
            </w:pPr>
            <w:r>
              <w:rPr>
                <w:rFonts w:ascii="Arial" w:cs="Arial" w:eastAsia="Arial" w:hAnsi="Arial"/>
                <w:sz w:val="16"/>
                <w:szCs w:val="16"/>
                <w:color w:val="auto"/>
              </w:rPr>
              <w:t>3.9</w:t>
            </w:r>
          </w:p>
        </w:tc>
        <w:tc>
          <w:tcPr>
            <w:tcW w:w="120" w:type="dxa"/>
            <w:vAlign w:val="bottom"/>
            <w:shd w:val="clear" w:color="auto" w:fill="E3E3E3"/>
          </w:tcPr>
          <w:p>
            <w:pPr>
              <w:spacing w:after="0"/>
              <w:rPr>
                <w:sz w:val="20"/>
                <w:szCs w:val="20"/>
                <w:color w:val="auto"/>
              </w:rPr>
            </w:pPr>
          </w:p>
        </w:tc>
        <w:tc>
          <w:tcPr>
            <w:tcW w:w="140" w:type="dxa"/>
            <w:vAlign w:val="bottom"/>
            <w:shd w:val="clear" w:color="auto" w:fill="E3E3E3"/>
          </w:tcPr>
          <w:p>
            <w:pPr>
              <w:spacing w:after="0"/>
              <w:rPr>
                <w:sz w:val="20"/>
                <w:szCs w:val="20"/>
                <w:color w:val="auto"/>
              </w:rPr>
            </w:pPr>
          </w:p>
        </w:tc>
        <w:tc>
          <w:tcPr>
            <w:tcW w:w="1220" w:type="dxa"/>
            <w:vAlign w:val="bottom"/>
            <w:gridSpan w:val="3"/>
            <w:shd w:val="clear" w:color="auto" w:fill="E3E3E3"/>
          </w:tcPr>
          <w:p>
            <w:pPr>
              <w:ind w:left="8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3E3E3"/>
          </w:tcPr>
          <w:p>
            <w:pPr>
              <w:spacing w:after="0"/>
              <w:rPr>
                <w:sz w:val="20"/>
                <w:szCs w:val="20"/>
                <w:color w:val="auto"/>
              </w:rPr>
            </w:pPr>
          </w:p>
        </w:tc>
        <w:tc>
          <w:tcPr>
            <w:tcW w:w="10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43"/>
        </w:trPr>
        <w:tc>
          <w:tcPr>
            <w:tcW w:w="3220" w:type="dxa"/>
            <w:vAlign w:val="bottom"/>
          </w:tcPr>
          <w:p>
            <w:pPr>
              <w:ind w:left="680"/>
              <w:spacing w:after="0"/>
              <w:rPr>
                <w:sz w:val="20"/>
                <w:szCs w:val="20"/>
                <w:color w:val="auto"/>
              </w:rPr>
            </w:pPr>
            <w:r>
              <w:rPr>
                <w:rFonts w:ascii="Arial" w:cs="Arial" w:eastAsia="Arial" w:hAnsi="Arial"/>
                <w:sz w:val="16"/>
                <w:szCs w:val="16"/>
                <w:color w:val="auto"/>
              </w:rPr>
              <w:t>Total purchased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(606.0)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(519.3)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315.4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4"/>
        </w:trPr>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- 14 -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recognized amortization expense of $33.4 million and $86.7 million for the three and nine months ended April 30, 2024, respectively, and $25.8 million and $79.7 million for the three and nine months ended April 30, 2023,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estimated future amortization expense of our intangible assets subject to amortization as of April 30, 2024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Fiscal years ending July 31,</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3"/>
        </w:trPr>
        <w:tc>
          <w:tcPr>
            <w:tcW w:w="2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2029 and</w:t>
            </w:r>
          </w:p>
        </w:tc>
      </w:tr>
      <w:tr>
        <w:trPr>
          <w:trHeight w:val="205"/>
        </w:trPr>
        <w:tc>
          <w:tcPr>
            <w:tcW w:w="2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Remaining 2024</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234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Future amortization expense</w:t>
            </w:r>
          </w:p>
        </w:tc>
        <w:tc>
          <w:tcPr>
            <w:tcW w:w="640" w:type="dxa"/>
            <w:vAlign w:val="bottom"/>
            <w:tcBorders>
              <w:top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407.9</w:t>
            </w:r>
          </w:p>
        </w:tc>
        <w:tc>
          <w:tcPr>
            <w:tcW w:w="80" w:type="dxa"/>
            <w:vAlign w:val="bottom"/>
            <w:tcBorders>
              <w:top w:val="single" w:sz="8" w:color="E3E3E3"/>
            </w:tcBorders>
            <w:shd w:val="clear" w:color="auto" w:fill="E3E3E3"/>
          </w:tcPr>
          <w:p>
            <w:pPr>
              <w:spacing w:after="0"/>
              <w:rPr>
                <w:sz w:val="21"/>
                <w:szCs w:val="21"/>
                <w:color w:val="auto"/>
              </w:rPr>
            </w:pPr>
          </w:p>
        </w:tc>
        <w:tc>
          <w:tcPr>
            <w:tcW w:w="460" w:type="dxa"/>
            <w:vAlign w:val="bottom"/>
            <w:tcBorders>
              <w:top w:val="single" w:sz="8" w:color="auto"/>
            </w:tcBorders>
            <w:shd w:val="clear" w:color="auto" w:fill="E3E3E3"/>
          </w:tcPr>
          <w:p>
            <w:pPr>
              <w:jc w:val="right"/>
              <w:ind w:right="264"/>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33.2</w:t>
            </w:r>
          </w:p>
        </w:tc>
        <w:tc>
          <w:tcPr>
            <w:tcW w:w="80" w:type="dxa"/>
            <w:vAlign w:val="bottom"/>
            <w:tcBorders>
              <w:top w:val="single" w:sz="8" w:color="E3E3E3"/>
            </w:tcBorders>
            <w:shd w:val="clear" w:color="auto" w:fill="E3E3E3"/>
          </w:tcPr>
          <w:p>
            <w:pPr>
              <w:spacing w:after="0"/>
              <w:rPr>
                <w:sz w:val="21"/>
                <w:szCs w:val="21"/>
                <w:color w:val="auto"/>
              </w:rPr>
            </w:pPr>
          </w:p>
        </w:tc>
        <w:tc>
          <w:tcPr>
            <w:tcW w:w="400" w:type="dxa"/>
            <w:vAlign w:val="bottom"/>
            <w:tcBorders>
              <w:top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120.7</w:t>
            </w:r>
          </w:p>
        </w:tc>
        <w:tc>
          <w:tcPr>
            <w:tcW w:w="80" w:type="dxa"/>
            <w:vAlign w:val="bottom"/>
            <w:tcBorders>
              <w:top w:val="single" w:sz="8" w:color="E3E3E3"/>
            </w:tcBorders>
            <w:shd w:val="clear" w:color="auto" w:fill="E3E3E3"/>
          </w:tcPr>
          <w:p>
            <w:pPr>
              <w:spacing w:after="0"/>
              <w:rPr>
                <w:sz w:val="21"/>
                <w:szCs w:val="21"/>
                <w:color w:val="auto"/>
              </w:rPr>
            </w:pPr>
          </w:p>
        </w:tc>
        <w:tc>
          <w:tcPr>
            <w:tcW w:w="18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E3E3E3"/>
          </w:tcPr>
          <w:p>
            <w:pPr>
              <w:jc w:val="right"/>
              <w:ind w:right="5"/>
              <w:spacing w:after="0"/>
              <w:rPr>
                <w:sz w:val="20"/>
                <w:szCs w:val="20"/>
                <w:color w:val="auto"/>
              </w:rPr>
            </w:pPr>
            <w:r>
              <w:rPr>
                <w:rFonts w:ascii="Arial" w:cs="Arial" w:eastAsia="Arial" w:hAnsi="Arial"/>
                <w:sz w:val="16"/>
                <w:szCs w:val="16"/>
                <w:color w:val="auto"/>
              </w:rPr>
              <w:t>98.9</w:t>
            </w:r>
          </w:p>
        </w:tc>
        <w:tc>
          <w:tcPr>
            <w:tcW w:w="80" w:type="dxa"/>
            <w:vAlign w:val="bottom"/>
            <w:tcBorders>
              <w:top w:val="single" w:sz="8" w:color="E3E3E3"/>
            </w:tcBorders>
            <w:shd w:val="clear" w:color="auto" w:fill="E3E3E3"/>
          </w:tcPr>
          <w:p>
            <w:pPr>
              <w:spacing w:after="0"/>
              <w:rPr>
                <w:sz w:val="21"/>
                <w:szCs w:val="21"/>
                <w:color w:val="auto"/>
              </w:rPr>
            </w:pPr>
          </w:p>
        </w:tc>
        <w:tc>
          <w:tcPr>
            <w:tcW w:w="440" w:type="dxa"/>
            <w:vAlign w:val="bottom"/>
            <w:tcBorders>
              <w:top w:val="single" w:sz="8" w:color="auto"/>
            </w:tcBorders>
            <w:shd w:val="clear" w:color="auto" w:fill="E3E3E3"/>
          </w:tcPr>
          <w:p>
            <w:pPr>
              <w:jc w:val="right"/>
              <w:ind w:right="2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71.8</w:t>
            </w:r>
          </w:p>
        </w:tc>
        <w:tc>
          <w:tcPr>
            <w:tcW w:w="80" w:type="dxa"/>
            <w:vAlign w:val="bottom"/>
            <w:tcBorders>
              <w:top w:val="single" w:sz="8" w:color="E3E3E3"/>
            </w:tcBorders>
            <w:shd w:val="clear" w:color="auto" w:fill="E3E3E3"/>
          </w:tcPr>
          <w:p>
            <w:pPr>
              <w:spacing w:after="0"/>
              <w:rPr>
                <w:sz w:val="21"/>
                <w:szCs w:val="21"/>
                <w:color w:val="auto"/>
              </w:rPr>
            </w:pPr>
          </w:p>
        </w:tc>
        <w:tc>
          <w:tcPr>
            <w:tcW w:w="440" w:type="dxa"/>
            <w:vAlign w:val="bottom"/>
            <w:tcBorders>
              <w:top w:val="single" w:sz="8" w:color="auto"/>
            </w:tcBorders>
            <w:shd w:val="clear" w:color="auto" w:fill="E3E3E3"/>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50.2</w:t>
            </w:r>
          </w:p>
        </w:tc>
        <w:tc>
          <w:tcPr>
            <w:tcW w:w="80" w:type="dxa"/>
            <w:vAlign w:val="bottom"/>
            <w:tcBorders>
              <w:top w:val="single" w:sz="8" w:color="E3E3E3"/>
            </w:tcBorders>
            <w:shd w:val="clear" w:color="auto" w:fill="E3E3E3"/>
          </w:tcPr>
          <w:p>
            <w:pPr>
              <w:spacing w:after="0"/>
              <w:rPr>
                <w:sz w:val="21"/>
                <w:szCs w:val="21"/>
                <w:color w:val="auto"/>
              </w:rPr>
            </w:pPr>
          </w:p>
        </w:tc>
        <w:tc>
          <w:tcPr>
            <w:tcW w:w="280" w:type="dxa"/>
            <w:vAlign w:val="bottom"/>
            <w:tcBorders>
              <w:top w:val="single" w:sz="8" w:color="auto"/>
            </w:tcBorders>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E3E3E3"/>
          </w:tcPr>
          <w:p>
            <w:pPr>
              <w:jc w:val="right"/>
              <w:ind w:right="5"/>
              <w:spacing w:after="0"/>
              <w:rPr>
                <w:sz w:val="20"/>
                <w:szCs w:val="20"/>
                <w:color w:val="auto"/>
              </w:rPr>
            </w:pPr>
            <w:r>
              <w:rPr>
                <w:rFonts w:ascii="Arial" w:cs="Arial" w:eastAsia="Arial" w:hAnsi="Arial"/>
                <w:sz w:val="16"/>
                <w:szCs w:val="16"/>
                <w:color w:val="auto"/>
              </w:rPr>
              <w:t>33.1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Debt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July 2018, we issued $1.7 billion aggregate principal amount of 0.75% Convertible Senior Notes due 2023 (the “2023 Notes”) and in June 2020, we issued $2.0 billion aggregate principal amount of 0.375% Convertible Senior Notes due 2025 (the “2025 Notes,” and together with the 2023 Notes, the “Notes”). The 2023 Notes were converted prior to or settled on the maturity date of July 1, 2023 in accordance with their terms. The 2025 Notes bear interest at a fixed rate of 0.375% per year, payable semi-annually in arrears on June 1 and December 1 of each year, beginning on December 1, 2020. The 2025 Notes are governed by an indenture between us, as the issuer, and U.S. Bank National Association, as Trustee (the “Indenture”). The 2025 Notes are unsecured, unsubordinated obligations and the Indenture governing the 2025 Notes does not contain any financial covenants or restrictions on the payments of dividends, the incurrence of indebtedness, or the issuance or repurchase of securities by us or any of our subsidiaries. The 2025 Notes mature on June 1, 2025. We may redeem for cash all or any portion of the 2025 Notes, at our option, on or after June 5, 2023 and prior to the 31st scheduled trading day immediately preceding the maturity date if the last reported sale price of our common stock has been at least 130% of the conversion price then in effect for at least 20 trading days during any 30 consecutive trading day period ending on and including the trading day preceding the date on which we provide notice of redemption. The redemption will be at a price equal to 100% of the principal amount of the 2025 Notes and adjusted for interest. If we call any or all of the 2025 Notes for redemption, holders may convert such 2025 Notes called for redemption at any time prior to the close of business on the second scheduled trading day immediately preceding the redemption date.</w:t>
      </w:r>
    </w:p>
    <w:p>
      <w:pPr>
        <w:spacing w:after="0" w:line="9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2025 Notes are convertible for an initial 20.1 million shares of our common stock at a conversion rate of approximately 10.0806 shares of common stock per $1,000 principal amount, which is equal to an initial conversion price of approximately $99.20 per share of common stock, subject to adjustments. Holders of the 2025 Notes may surrender their 2025 Notes for conversion at their option at any time prior to the close of business on the business day immediately preceding March 1, 2025 only under the following circumstances:</w:t>
      </w:r>
    </w:p>
    <w:p>
      <w:pPr>
        <w:spacing w:after="0" w:line="65" w:lineRule="exact"/>
        <w:rPr>
          <w:sz w:val="20"/>
          <w:szCs w:val="20"/>
          <w:color w:val="auto"/>
        </w:rPr>
      </w:pPr>
    </w:p>
    <w:p>
      <w:pPr>
        <w:ind w:left="200" w:right="260" w:hanging="192"/>
        <w:spacing w:after="0" w:line="265" w:lineRule="auto"/>
        <w:tabs>
          <w:tab w:leader="none" w:pos="184" w:val="left"/>
        </w:tabs>
        <w:numPr>
          <w:ilvl w:val="0"/>
          <w:numId w:val="7"/>
        </w:numPr>
        <w:rPr>
          <w:rFonts w:ascii="Arial" w:cs="Arial" w:eastAsia="Arial" w:hAnsi="Arial"/>
          <w:sz w:val="16"/>
          <w:szCs w:val="16"/>
          <w:b w:val="1"/>
          <w:bCs w:val="1"/>
          <w:color w:val="E64B38"/>
        </w:rPr>
      </w:pPr>
      <w:r>
        <w:rPr>
          <w:rFonts w:ascii="Arial" w:cs="Arial" w:eastAsia="Arial" w:hAnsi="Arial"/>
          <w:sz w:val="16"/>
          <w:szCs w:val="16"/>
          <w:color w:val="auto"/>
        </w:rPr>
        <w:t>during any fiscal quarter commencing after the fiscal quarters ending on October 31, 2020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for the 2025 Notes on each applicable trading day (the “sale price condition”);</w:t>
      </w:r>
    </w:p>
    <w:p>
      <w:pPr>
        <w:spacing w:after="0" w:line="37" w:lineRule="exact"/>
        <w:rPr>
          <w:rFonts w:ascii="Arial" w:cs="Arial" w:eastAsia="Arial" w:hAnsi="Arial"/>
          <w:sz w:val="16"/>
          <w:szCs w:val="16"/>
          <w:b w:val="1"/>
          <w:bCs w:val="1"/>
          <w:color w:val="E64B38"/>
        </w:rPr>
      </w:pPr>
    </w:p>
    <w:p>
      <w:pPr>
        <w:jc w:val="both"/>
        <w:ind w:left="200" w:right="20" w:hanging="192"/>
        <w:spacing w:after="0" w:line="275" w:lineRule="auto"/>
        <w:tabs>
          <w:tab w:leader="none" w:pos="184" w:val="left"/>
        </w:tabs>
        <w:numPr>
          <w:ilvl w:val="0"/>
          <w:numId w:val="7"/>
        </w:numPr>
        <w:rPr>
          <w:rFonts w:ascii="Arial" w:cs="Arial" w:eastAsia="Arial" w:hAnsi="Arial"/>
          <w:sz w:val="16"/>
          <w:szCs w:val="16"/>
          <w:b w:val="1"/>
          <w:bCs w:val="1"/>
          <w:color w:val="E64B38"/>
        </w:rPr>
      </w:pPr>
      <w:r>
        <w:rPr>
          <w:rFonts w:ascii="Arial" w:cs="Arial" w:eastAsia="Arial" w:hAnsi="Arial"/>
          <w:sz w:val="16"/>
          <w:szCs w:val="16"/>
          <w:color w:val="auto"/>
        </w:rPr>
        <w:t>during the five business day period after any five consecutive trading day period (the “measurement period”) in which the trading price per $1,000 principal amount of the 2025 Notes for each trading day of the measurement period was less than 98% of the product of the last reported sale price of our common stock and the conversion rate for the 2025 Notes on each such trading day; or</w:t>
      </w:r>
    </w:p>
    <w:p>
      <w:pPr>
        <w:spacing w:after="0" w:line="29" w:lineRule="exact"/>
        <w:rPr>
          <w:rFonts w:ascii="Arial" w:cs="Arial" w:eastAsia="Arial" w:hAnsi="Arial"/>
          <w:sz w:val="16"/>
          <w:szCs w:val="16"/>
          <w:b w:val="1"/>
          <w:bCs w:val="1"/>
          <w:color w:val="E64B38"/>
        </w:rPr>
      </w:pPr>
    </w:p>
    <w:p>
      <w:pPr>
        <w:ind w:left="180" w:hanging="172"/>
        <w:spacing w:after="0"/>
        <w:tabs>
          <w:tab w:leader="none" w:pos="180" w:val="left"/>
        </w:tabs>
        <w:numPr>
          <w:ilvl w:val="0"/>
          <w:numId w:val="7"/>
        </w:numPr>
        <w:rPr>
          <w:rFonts w:ascii="Arial" w:cs="Arial" w:eastAsia="Arial" w:hAnsi="Arial"/>
          <w:sz w:val="16"/>
          <w:szCs w:val="16"/>
          <w:b w:val="1"/>
          <w:bCs w:val="1"/>
          <w:color w:val="E64B38"/>
        </w:rPr>
      </w:pPr>
      <w:r>
        <w:rPr>
          <w:rFonts w:ascii="Arial" w:cs="Arial" w:eastAsia="Arial" w:hAnsi="Arial"/>
          <w:sz w:val="16"/>
          <w:szCs w:val="16"/>
          <w:color w:val="auto"/>
        </w:rPr>
        <w:t>upon the occurrence of specified corporate events.</w:t>
      </w:r>
    </w:p>
    <w:p>
      <w:pPr>
        <w:spacing w:after="0" w:line="11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On or after March 1, 2025, holders may surrender all or any portion of their 2025 Notes for conversion at any time prior to the close of business on the second scheduled trading day immediately preceding the maturity date regardless of the foregoing conditions, and such conversions will be settled upon the maturity date. Upon conversion, holders of the 2025 Notes will receive cash equal to the aggregate principal amount of the 2025 Notes to be converted, and, at our election, cash and/or shares of our common stock for any amounts in excess of the aggregate principal amount of the 2025 Notes being converted.</w:t>
      </w:r>
    </w:p>
    <w:p>
      <w:pPr>
        <w:spacing w:after="0" w:line="7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conversion price will be subject to adjustment in some events. Holders of the 2025 Notes who convert their 2025 Notes in connection with certain corporate events that constitute a “make-whole fundamental change” under the Indenture are, under certain circumstances, entitled to an increase in the conversion rate. Additionally, upon the occurrence of a corporate event that constitutes a “fundamental change” under the Indenture, holders of the 2025 Notes may require us to repurchase for cash all or a portion of the 2025 Notes at a repurchase price equal to 100% of the principal amount of the 2025 Notes plus accrued and unpaid interest to, but excluding, the fundamental change repurchase date.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2025 Notes were able to early convert their 2025 Notes during the fiscal quarter ended April 30, 2024 as the sales price condition had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met during the fiscal quarter ended January 31, 2024. During the three and nine months ended April 30, 2024, holders of the 2025 Notes converted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$661.8 million and $834.1 million, respectively, in aggregate principal amount of the 2025 Notes, which we repaid in cash. We also issued 4.6 million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5.7 million shares of our common stock to the holders of the 2025 Notes during the three and nine months ended April 30, 2024, respectively, for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conversion value in excess of the principal amount. These shares were fully offset by shares we received from the corresponding exercise of the note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hedges. Refer to Note 16. Subsequent Event for additional information regarding conversion of the 2025 Notes after April 30, 2024 through the filing date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Quarterly Report on Form 10-Q.</w:t>
      </w:r>
    </w:p>
    <w:p>
      <w:pPr>
        <w:spacing w:after="0" w:line="11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sale price condition for the 2025 Notes was met during the fiscal quarter ended April 30, 2024 and as a result, holders may convert their 2025 Notes during the fiscal quarter ending July 31, 2024. The net carrying amount of the 2025 Notes was classified as a current liability on our condensed consolidated balance sheet as of April 30, 2024.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net carrying amount of our 2025 Notes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30, 2024</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July 31, 2023</w:t>
            </w:r>
          </w:p>
        </w:tc>
      </w:tr>
      <w:tr>
        <w:trPr>
          <w:trHeight w:val="243"/>
        </w:trPr>
        <w:tc>
          <w:tcPr>
            <w:tcW w:w="802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Principal</w:t>
            </w:r>
          </w:p>
        </w:tc>
        <w:tc>
          <w:tcPr>
            <w:tcW w:w="380" w:type="dxa"/>
            <w:vAlign w:val="bottom"/>
            <w:tcBorders>
              <w:top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1,165.2</w:t>
            </w:r>
          </w:p>
        </w:tc>
        <w:tc>
          <w:tcPr>
            <w:tcW w:w="80" w:type="dxa"/>
            <w:vAlign w:val="bottom"/>
            <w:tcBorders>
              <w:top w:val="single" w:sz="8" w:color="E3E3E3"/>
            </w:tcBorders>
            <w:shd w:val="clear" w:color="auto" w:fill="E3E3E3"/>
          </w:tcPr>
          <w:p>
            <w:pPr>
              <w:spacing w:after="0"/>
              <w:rPr>
                <w:sz w:val="21"/>
                <w:szCs w:val="21"/>
                <w:color w:val="auto"/>
              </w:rPr>
            </w:pPr>
          </w:p>
        </w:tc>
        <w:tc>
          <w:tcPr>
            <w:tcW w:w="380" w:type="dxa"/>
            <w:vAlign w:val="bottom"/>
            <w:tcBorders>
              <w:top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1,999.3</w:t>
            </w:r>
          </w:p>
        </w:tc>
      </w:tr>
      <w:tr>
        <w:trPr>
          <w:trHeight w:val="237"/>
        </w:trPr>
        <w:tc>
          <w:tcPr>
            <w:tcW w:w="802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Less: debt issuance costs, net of amortization</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E3E3E3"/>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68"/>
        </w:trPr>
        <w:tc>
          <w:tcPr>
            <w:tcW w:w="802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Net carrying amount</w:t>
            </w:r>
          </w:p>
        </w:tc>
        <w:tc>
          <w:tcPr>
            <w:tcW w:w="38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1,162.5</w:t>
            </w:r>
          </w:p>
        </w:tc>
        <w:tc>
          <w:tcPr>
            <w:tcW w:w="8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1,991.5</w:t>
            </w:r>
          </w:p>
        </w:tc>
      </w:tr>
      <w:tr>
        <w:trPr>
          <w:trHeight w:val="20"/>
        </w:trPr>
        <w:tc>
          <w:tcPr>
            <w:tcW w:w="802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bottom w:val="single" w:sz="8" w:color="auto"/>
            </w:tcBorders>
          </w:tcPr>
          <w:p>
            <w:pPr>
              <w:spacing w:after="0" w:line="20" w:lineRule="exact"/>
              <w:rPr>
                <w:sz w:val="1"/>
                <w:szCs w:val="1"/>
                <w:color w:val="auto"/>
              </w:rPr>
            </w:pPr>
          </w:p>
        </w:tc>
        <w:tc>
          <w:tcPr>
            <w:tcW w:w="1200" w:type="dxa"/>
            <w:vAlign w:val="bottom"/>
            <w:tcBorders>
              <w:top w:val="single" w:sz="8" w:color="E3E3E3"/>
              <w:bottom w:val="single" w:sz="8" w:color="auto"/>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bottom w:val="single" w:sz="8" w:color="auto"/>
            </w:tcBorders>
          </w:tcPr>
          <w:p>
            <w:pPr>
              <w:spacing w:after="0" w:line="20" w:lineRule="exact"/>
              <w:rPr>
                <w:sz w:val="1"/>
                <w:szCs w:val="1"/>
                <w:color w:val="auto"/>
              </w:rPr>
            </w:pPr>
          </w:p>
        </w:tc>
        <w:tc>
          <w:tcPr>
            <w:tcW w:w="1180" w:type="dxa"/>
            <w:vAlign w:val="bottom"/>
            <w:tcBorders>
              <w:top w:val="single" w:sz="8" w:color="E3E3E3"/>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total estimated fair value of the 2025 Notes was $3.4 billion as of April 30, 2024 and $5.0 billion as of July 31, 2023. The fair value was determined based on the closing trading price per $100 of the 2025 Notes as of the last day of trading for the period. We consider the fair value of the 2025 Notes as of April 30, 2024 and July 31, 2023 to be a Level 2 measurement. The fair value of the 2025 Notes is primarily affected by the trading price of our common stock and market interest rates.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interest expense recognized related to the Notes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Three Months Ended April 30,</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rPr>
              <w:t>Nine Months Ended April 30,</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2023 Notes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160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Contractual interest</w:t>
            </w:r>
          </w:p>
        </w:tc>
        <w:tc>
          <w:tcPr>
            <w:tcW w:w="220" w:type="dxa"/>
            <w:vAlign w:val="bottom"/>
            <w:tcBorders>
              <w:top w:val="single" w:sz="8" w:color="auto"/>
            </w:tcBorders>
            <w:shd w:val="clear" w:color="auto" w:fill="E3E3E3"/>
          </w:tcPr>
          <w:p>
            <w:pPr>
              <w:spacing w:after="0"/>
              <w:rPr>
                <w:sz w:val="17"/>
                <w:szCs w:val="17"/>
                <w:color w:val="auto"/>
              </w:rPr>
            </w:pPr>
          </w:p>
        </w:tc>
        <w:tc>
          <w:tcPr>
            <w:tcW w:w="52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140" w:type="dxa"/>
            <w:vAlign w:val="bottom"/>
            <w:tcBorders>
              <w:top w:val="single" w:sz="8" w:color="auto"/>
            </w:tcBorders>
            <w:shd w:val="clear" w:color="auto" w:fill="E3E3E3"/>
          </w:tcPr>
          <w:p>
            <w:pPr>
              <w:spacing w:after="0"/>
              <w:rPr>
                <w:sz w:val="17"/>
                <w:szCs w:val="17"/>
                <w:color w:val="auto"/>
              </w:rPr>
            </w:pPr>
          </w:p>
        </w:tc>
        <w:tc>
          <w:tcPr>
            <w:tcW w:w="64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200" w:type="dxa"/>
            <w:vAlign w:val="bottom"/>
            <w:tcBorders>
              <w:top w:val="single" w:sz="8" w:color="auto"/>
            </w:tcBorders>
            <w:shd w:val="clear" w:color="auto" w:fill="E3E3E3"/>
          </w:tcPr>
          <w:p>
            <w:pPr>
              <w:spacing w:after="0"/>
              <w:rPr>
                <w:sz w:val="17"/>
                <w:szCs w:val="17"/>
                <w:color w:val="auto"/>
              </w:rPr>
            </w:pPr>
          </w:p>
        </w:tc>
        <w:tc>
          <w:tcPr>
            <w:tcW w:w="420" w:type="dxa"/>
            <w:vAlign w:val="bottom"/>
            <w:tcBorders>
              <w:top w:val="single" w:sz="8" w:color="auto"/>
            </w:tcBorders>
            <w:shd w:val="clear" w:color="auto" w:fill="E3E3E3"/>
          </w:tcPr>
          <w:p>
            <w:pPr>
              <w:spacing w:after="0"/>
              <w:rPr>
                <w:sz w:val="17"/>
                <w:szCs w:val="17"/>
                <w:color w:val="auto"/>
              </w:rPr>
            </w:pPr>
          </w:p>
        </w:tc>
        <w:tc>
          <w:tcPr>
            <w:tcW w:w="100" w:type="dxa"/>
            <w:vAlign w:val="bottom"/>
            <w:tcBorders>
              <w:top w:val="single" w:sz="8" w:color="E3E3E3"/>
            </w:tcBorders>
            <w:shd w:val="clear" w:color="auto" w:fill="E3E3E3"/>
          </w:tcPr>
          <w:p>
            <w:pPr>
              <w:spacing w:after="0"/>
              <w:rPr>
                <w:sz w:val="17"/>
                <w:szCs w:val="17"/>
                <w:color w:val="auto"/>
              </w:rPr>
            </w:pPr>
          </w:p>
        </w:tc>
        <w:tc>
          <w:tcPr>
            <w:tcW w:w="220" w:type="dxa"/>
            <w:vAlign w:val="bottom"/>
            <w:tcBorders>
              <w:top w:val="single" w:sz="8" w:color="auto"/>
            </w:tcBorders>
            <w:shd w:val="clear" w:color="auto" w:fill="E3E3E3"/>
          </w:tcPr>
          <w:p>
            <w:pPr>
              <w:spacing w:after="0"/>
              <w:rPr>
                <w:sz w:val="17"/>
                <w:szCs w:val="17"/>
                <w:color w:val="auto"/>
              </w:rPr>
            </w:pPr>
          </w:p>
        </w:tc>
        <w:tc>
          <w:tcPr>
            <w:tcW w:w="54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140" w:type="dxa"/>
            <w:vAlign w:val="bottom"/>
            <w:tcBorders>
              <w:top w:val="single" w:sz="8" w:color="auto"/>
            </w:tcBorders>
            <w:shd w:val="clear" w:color="auto" w:fill="E3E3E3"/>
          </w:tcPr>
          <w:p>
            <w:pPr>
              <w:spacing w:after="0"/>
              <w:rPr>
                <w:sz w:val="17"/>
                <w:szCs w:val="17"/>
                <w:color w:val="auto"/>
              </w:rPr>
            </w:pPr>
          </w:p>
        </w:tc>
        <w:tc>
          <w:tcPr>
            <w:tcW w:w="64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180" w:type="dxa"/>
            <w:vAlign w:val="bottom"/>
            <w:tcBorders>
              <w:top w:val="single" w:sz="8" w:color="auto"/>
            </w:tcBorders>
            <w:shd w:val="clear" w:color="auto" w:fill="E3E3E3"/>
          </w:tcPr>
          <w:p>
            <w:pPr>
              <w:spacing w:after="0"/>
              <w:rPr>
                <w:sz w:val="17"/>
                <w:szCs w:val="17"/>
                <w:color w:val="auto"/>
              </w:rPr>
            </w:pPr>
          </w:p>
        </w:tc>
        <w:tc>
          <w:tcPr>
            <w:tcW w:w="44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240" w:type="dxa"/>
            <w:vAlign w:val="bottom"/>
            <w:tcBorders>
              <w:top w:val="single" w:sz="8" w:color="auto"/>
            </w:tcBorders>
            <w:shd w:val="clear" w:color="auto" w:fill="E3E3E3"/>
          </w:tcPr>
          <w:p>
            <w:pPr>
              <w:spacing w:after="0"/>
              <w:rPr>
                <w:sz w:val="17"/>
                <w:szCs w:val="17"/>
                <w:color w:val="auto"/>
              </w:rPr>
            </w:pPr>
          </w:p>
        </w:tc>
        <w:tc>
          <w:tcPr>
            <w:tcW w:w="52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140" w:type="dxa"/>
            <w:vAlign w:val="bottom"/>
            <w:tcBorders>
              <w:top w:val="single" w:sz="8" w:color="auto"/>
            </w:tcBorders>
            <w:shd w:val="clear" w:color="auto" w:fill="E3E3E3"/>
          </w:tcPr>
          <w:p>
            <w:pPr>
              <w:spacing w:after="0"/>
              <w:rPr>
                <w:sz w:val="17"/>
                <w:szCs w:val="17"/>
                <w:color w:val="auto"/>
              </w:rPr>
            </w:pPr>
          </w:p>
        </w:tc>
        <w:tc>
          <w:tcPr>
            <w:tcW w:w="64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200" w:type="dxa"/>
            <w:vAlign w:val="bottom"/>
            <w:tcBorders>
              <w:top w:val="single" w:sz="8" w:color="auto"/>
            </w:tcBorders>
            <w:shd w:val="clear" w:color="auto" w:fill="E3E3E3"/>
          </w:tcPr>
          <w:p>
            <w:pPr>
              <w:spacing w:after="0"/>
              <w:rPr>
                <w:sz w:val="17"/>
                <w:szCs w:val="17"/>
                <w:color w:val="auto"/>
              </w:rPr>
            </w:pPr>
          </w:p>
        </w:tc>
        <w:tc>
          <w:tcPr>
            <w:tcW w:w="42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200" w:type="dxa"/>
            <w:vAlign w:val="bottom"/>
            <w:tcBorders>
              <w:top w:val="single" w:sz="8" w:color="auto"/>
            </w:tcBorders>
            <w:shd w:val="clear" w:color="auto" w:fill="E3E3E3"/>
          </w:tcPr>
          <w:p>
            <w:pPr>
              <w:spacing w:after="0"/>
              <w:rPr>
                <w:sz w:val="17"/>
                <w:szCs w:val="17"/>
                <w:color w:val="auto"/>
              </w:rPr>
            </w:pPr>
          </w:p>
        </w:tc>
        <w:tc>
          <w:tcPr>
            <w:tcW w:w="60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140" w:type="dxa"/>
            <w:vAlign w:val="bottom"/>
            <w:tcBorders>
              <w:top w:val="single" w:sz="8" w:color="auto"/>
            </w:tcBorders>
            <w:shd w:val="clear" w:color="auto" w:fill="E3E3E3"/>
          </w:tcPr>
          <w:p>
            <w:pPr>
              <w:spacing w:after="0"/>
              <w:rPr>
                <w:sz w:val="17"/>
                <w:szCs w:val="17"/>
                <w:color w:val="auto"/>
              </w:rPr>
            </w:pPr>
          </w:p>
        </w:tc>
        <w:tc>
          <w:tcPr>
            <w:tcW w:w="640" w:type="dxa"/>
            <w:vAlign w:val="bottom"/>
            <w:tcBorders>
              <w:top w:val="single" w:sz="8" w:color="auto"/>
            </w:tcBorders>
            <w:shd w:val="clear" w:color="auto" w:fill="E3E3E3"/>
          </w:tcPr>
          <w:p>
            <w:pPr>
              <w:spacing w:after="0"/>
              <w:rPr>
                <w:sz w:val="17"/>
                <w:szCs w:val="17"/>
                <w:color w:val="auto"/>
              </w:rPr>
            </w:pPr>
          </w:p>
        </w:tc>
        <w:tc>
          <w:tcPr>
            <w:tcW w:w="80" w:type="dxa"/>
            <w:vAlign w:val="bottom"/>
            <w:tcBorders>
              <w:top w:val="single" w:sz="8" w:color="E3E3E3"/>
            </w:tcBorders>
            <w:shd w:val="clear" w:color="auto" w:fill="E3E3E3"/>
          </w:tcPr>
          <w:p>
            <w:pPr>
              <w:spacing w:after="0"/>
              <w:rPr>
                <w:sz w:val="17"/>
                <w:szCs w:val="17"/>
                <w:color w:val="auto"/>
              </w:rPr>
            </w:pPr>
          </w:p>
        </w:tc>
        <w:tc>
          <w:tcPr>
            <w:tcW w:w="200" w:type="dxa"/>
            <w:vAlign w:val="bottom"/>
            <w:tcBorders>
              <w:top w:val="single" w:sz="8" w:color="auto"/>
            </w:tcBorders>
            <w:shd w:val="clear" w:color="auto" w:fill="E3E3E3"/>
          </w:tcPr>
          <w:p>
            <w:pPr>
              <w:spacing w:after="0"/>
              <w:rPr>
                <w:sz w:val="17"/>
                <w:szCs w:val="17"/>
                <w:color w:val="auto"/>
              </w:rPr>
            </w:pPr>
          </w:p>
        </w:tc>
        <w:tc>
          <w:tcPr>
            <w:tcW w:w="480" w:type="dxa"/>
            <w:vAlign w:val="bottom"/>
            <w:tcBorders>
              <w:top w:val="single" w:sz="8" w:color="auto"/>
            </w:tcBorders>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00" w:type="dxa"/>
            <w:vAlign w:val="bottom"/>
            <w:shd w:val="clear" w:color="auto" w:fill="E3E3E3"/>
          </w:tcPr>
          <w:p>
            <w:pPr>
              <w:ind w:left="20"/>
              <w:spacing w:after="0"/>
              <w:rPr>
                <w:sz w:val="20"/>
                <w:szCs w:val="20"/>
                <w:color w:val="auto"/>
              </w:rPr>
            </w:pPr>
            <w:r>
              <w:rPr>
                <w:rFonts w:ascii="Arial" w:cs="Arial" w:eastAsia="Arial" w:hAnsi="Arial"/>
                <w:sz w:val="16"/>
                <w:szCs w:val="16"/>
                <w:color w:val="auto"/>
              </w:rPr>
              <w:t>expense</w:t>
            </w: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E3E3E3"/>
          </w:tcPr>
          <w:p>
            <w:pPr>
              <w:ind w:lef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3E3E3"/>
          </w:tcPr>
          <w:p>
            <w:pPr>
              <w:ind w:left="200"/>
              <w:spacing w:after="0"/>
              <w:rPr>
                <w:sz w:val="20"/>
                <w:szCs w:val="20"/>
                <w:color w:val="auto"/>
              </w:rPr>
            </w:pPr>
            <w:r>
              <w:rPr>
                <w:rFonts w:ascii="Arial" w:cs="Arial" w:eastAsia="Arial" w:hAnsi="Arial"/>
                <w:sz w:val="16"/>
                <w:szCs w:val="16"/>
                <w:color w:val="auto"/>
              </w:rPr>
              <w:t>1.5</w:t>
            </w:r>
          </w:p>
        </w:tc>
        <w:tc>
          <w:tcPr>
            <w:tcW w:w="280" w:type="dxa"/>
            <w:vAlign w:val="bottom"/>
            <w:gridSpan w:val="2"/>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E3E3E3"/>
          </w:tcPr>
          <w:p>
            <w:pPr>
              <w:jc w:val="center"/>
              <w:ind w:left="1"/>
              <w:spacing w:after="0"/>
              <w:rPr>
                <w:sz w:val="20"/>
                <w:szCs w:val="20"/>
                <w:color w:val="auto"/>
              </w:rPr>
            </w:pPr>
            <w:r>
              <w:rPr>
                <w:rFonts w:ascii="Arial" w:cs="Arial" w:eastAsia="Arial" w:hAnsi="Arial"/>
                <w:sz w:val="16"/>
                <w:szCs w:val="16"/>
                <w:color w:val="auto"/>
                <w:w w:val="98"/>
              </w:rPr>
              <w:t>1.5</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E3E3E3"/>
          </w:tcPr>
          <w:p>
            <w:pPr>
              <w:ind w:left="100"/>
              <w:spacing w:after="0"/>
              <w:rPr>
                <w:sz w:val="20"/>
                <w:szCs w:val="20"/>
                <w:color w:val="auto"/>
              </w:rPr>
            </w:pPr>
            <w:r>
              <w:rPr>
                <w:rFonts w:ascii="Arial" w:cs="Arial" w:eastAsia="Arial" w:hAnsi="Arial"/>
                <w:sz w:val="16"/>
                <w:szCs w:val="16"/>
                <w:color w:val="auto"/>
              </w:rPr>
              <w:t>3.2</w:t>
            </w:r>
          </w:p>
        </w:tc>
        <w:tc>
          <w:tcPr>
            <w:tcW w:w="80" w:type="dxa"/>
            <w:vAlign w:val="bottom"/>
            <w:shd w:val="clear" w:color="auto" w:fill="E3E3E3"/>
          </w:tcPr>
          <w:p>
            <w:pPr>
              <w:spacing w:after="0"/>
              <w:rPr>
                <w:sz w:val="21"/>
                <w:szCs w:val="21"/>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ind w:left="200"/>
              <w:spacing w:after="0"/>
              <w:rPr>
                <w:sz w:val="20"/>
                <w:szCs w:val="20"/>
                <w:color w:val="auto"/>
              </w:rPr>
            </w:pPr>
            <w:r>
              <w:rPr>
                <w:rFonts w:ascii="Arial" w:cs="Arial" w:eastAsia="Arial" w:hAnsi="Arial"/>
                <w:sz w:val="16"/>
                <w:szCs w:val="16"/>
                <w:color w:val="auto"/>
              </w:rPr>
              <w:t>1.8</w:t>
            </w:r>
          </w:p>
        </w:tc>
        <w:tc>
          <w:tcPr>
            <w:tcW w:w="26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center"/>
              <w:ind w:left="1"/>
              <w:spacing w:after="0"/>
              <w:rPr>
                <w:sz w:val="20"/>
                <w:szCs w:val="20"/>
                <w:color w:val="auto"/>
              </w:rPr>
            </w:pPr>
            <w:r>
              <w:rPr>
                <w:rFonts w:ascii="Arial" w:cs="Arial" w:eastAsia="Arial" w:hAnsi="Arial"/>
                <w:sz w:val="16"/>
                <w:szCs w:val="16"/>
                <w:color w:val="auto"/>
              </w:rPr>
              <w:t>5.0</w:t>
            </w:r>
          </w:p>
        </w:tc>
        <w:tc>
          <w:tcPr>
            <w:tcW w:w="8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E3E3E3"/>
          </w:tcPr>
          <w:p>
            <w:pPr>
              <w:ind w:lef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3E3E3"/>
          </w:tcPr>
          <w:p>
            <w:pPr>
              <w:ind w:left="200"/>
              <w:spacing w:after="0"/>
              <w:rPr>
                <w:sz w:val="20"/>
                <w:szCs w:val="20"/>
                <w:color w:val="auto"/>
              </w:rPr>
            </w:pPr>
            <w:r>
              <w:rPr>
                <w:rFonts w:ascii="Arial" w:cs="Arial" w:eastAsia="Arial" w:hAnsi="Arial"/>
                <w:sz w:val="16"/>
                <w:szCs w:val="16"/>
                <w:color w:val="auto"/>
              </w:rPr>
              <w:t>5.1</w:t>
            </w:r>
          </w:p>
        </w:tc>
        <w:tc>
          <w:tcPr>
            <w:tcW w:w="280" w:type="dxa"/>
            <w:vAlign w:val="bottom"/>
            <w:gridSpan w:val="2"/>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E3E3E3"/>
          </w:tcPr>
          <w:p>
            <w:pPr>
              <w:jc w:val="center"/>
              <w:ind w:left="1"/>
              <w:spacing w:after="0"/>
              <w:rPr>
                <w:sz w:val="20"/>
                <w:szCs w:val="20"/>
                <w:color w:val="auto"/>
              </w:rPr>
            </w:pPr>
            <w:r>
              <w:rPr>
                <w:rFonts w:ascii="Arial" w:cs="Arial" w:eastAsia="Arial" w:hAnsi="Arial"/>
                <w:sz w:val="16"/>
                <w:szCs w:val="16"/>
                <w:color w:val="auto"/>
                <w:w w:val="98"/>
              </w:rPr>
              <w:t>5.1</w:t>
            </w:r>
          </w:p>
        </w:tc>
        <w:tc>
          <w:tcPr>
            <w:tcW w:w="80" w:type="dxa"/>
            <w:vAlign w:val="bottom"/>
            <w:shd w:val="clear" w:color="auto" w:fill="E3E3E3"/>
          </w:tcPr>
          <w:p>
            <w:pPr>
              <w:spacing w:after="0"/>
              <w:rPr>
                <w:sz w:val="21"/>
                <w:szCs w:val="21"/>
                <w:color w:val="auto"/>
              </w:rPr>
            </w:pPr>
          </w:p>
        </w:tc>
        <w:tc>
          <w:tcPr>
            <w:tcW w:w="200" w:type="dxa"/>
            <w:vAlign w:val="bottom"/>
            <w:shd w:val="clear" w:color="auto" w:fill="E3E3E3"/>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3E3E3"/>
          </w:tcPr>
          <w:p>
            <w:pPr>
              <w:jc w:val="right"/>
              <w:ind w:right="119"/>
              <w:spacing w:after="0"/>
              <w:rPr>
                <w:sz w:val="20"/>
                <w:szCs w:val="20"/>
                <w:color w:val="auto"/>
              </w:rPr>
            </w:pPr>
            <w:r>
              <w:rPr>
                <w:rFonts w:ascii="Arial" w:cs="Arial" w:eastAsia="Arial" w:hAnsi="Arial"/>
                <w:sz w:val="16"/>
                <w:szCs w:val="16"/>
                <w:color w:val="auto"/>
              </w:rPr>
              <w:t>9.6</w:t>
            </w:r>
          </w:p>
        </w:tc>
        <w:tc>
          <w:tcPr>
            <w:tcW w:w="80" w:type="dxa"/>
            <w:vAlign w:val="bottom"/>
            <w:shd w:val="clear" w:color="auto" w:fill="E3E3E3"/>
          </w:tcPr>
          <w:p>
            <w:pPr>
              <w:spacing w:after="0"/>
              <w:rPr>
                <w:sz w:val="21"/>
                <w:szCs w:val="21"/>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3E3E3"/>
          </w:tcPr>
          <w:p>
            <w:pPr>
              <w:ind w:left="200"/>
              <w:spacing w:after="0"/>
              <w:rPr>
                <w:sz w:val="20"/>
                <w:szCs w:val="20"/>
                <w:color w:val="auto"/>
              </w:rPr>
            </w:pPr>
            <w:r>
              <w:rPr>
                <w:rFonts w:ascii="Arial" w:cs="Arial" w:eastAsia="Arial" w:hAnsi="Arial"/>
                <w:sz w:val="16"/>
                <w:szCs w:val="16"/>
                <w:color w:val="auto"/>
              </w:rPr>
              <w:t>5.6</w:t>
            </w:r>
          </w:p>
        </w:tc>
        <w:tc>
          <w:tcPr>
            <w:tcW w:w="280" w:type="dxa"/>
            <w:vAlign w:val="bottom"/>
            <w:gridSpan w:val="2"/>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2"/>
        </w:trPr>
        <w:tc>
          <w:tcPr>
            <w:tcW w:w="1600" w:type="dxa"/>
            <w:vAlign w:val="bottom"/>
          </w:tcPr>
          <w:p>
            <w:pPr>
              <w:ind w:left="20"/>
              <w:spacing w:after="0"/>
              <w:rPr>
                <w:sz w:val="20"/>
                <w:szCs w:val="20"/>
                <w:color w:val="auto"/>
              </w:rPr>
            </w:pPr>
            <w:r>
              <w:rPr>
                <w:rFonts w:ascii="Arial" w:cs="Arial" w:eastAsia="Arial" w:hAnsi="Arial"/>
                <w:sz w:val="16"/>
                <w:szCs w:val="16"/>
                <w:color w:val="auto"/>
              </w:rPr>
              <w:t>Amortization of debt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issuance costs</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0.8</w:t>
            </w:r>
          </w:p>
        </w:tc>
        <w:tc>
          <w:tcPr>
            <w:tcW w:w="8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8"/>
              </w:rPr>
              <w:t>0.8</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E3E3E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8"/>
              </w:rPr>
              <w:t>2.9</w:t>
            </w:r>
          </w:p>
        </w:tc>
        <w:tc>
          <w:tcPr>
            <w:tcW w:w="8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E3E3E3"/>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8"/>
        </w:trPr>
        <w:tc>
          <w:tcPr>
            <w:tcW w:w="16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Total interest</w:t>
            </w:r>
          </w:p>
        </w:tc>
        <w:tc>
          <w:tcPr>
            <w:tcW w:w="220" w:type="dxa"/>
            <w:vAlign w:val="bottom"/>
            <w:vMerge w:val="restart"/>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E3E3E3"/>
          </w:tcPr>
          <w:p>
            <w:pPr>
              <w:ind w:left="1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E3E3E3"/>
          </w:tcPr>
          <w:p>
            <w:pPr>
              <w:spacing w:after="0"/>
              <w:rPr>
                <w:sz w:val="16"/>
                <w:szCs w:val="16"/>
                <w:color w:val="auto"/>
              </w:rPr>
            </w:pPr>
          </w:p>
        </w:tc>
        <w:tc>
          <w:tcPr>
            <w:tcW w:w="14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E3E3E3"/>
          </w:tcPr>
          <w:p>
            <w:pPr>
              <w:ind w:left="200"/>
              <w:spacing w:after="0"/>
              <w:rPr>
                <w:sz w:val="20"/>
                <w:szCs w:val="20"/>
                <w:color w:val="auto"/>
              </w:rPr>
            </w:pPr>
            <w:r>
              <w:rPr>
                <w:rFonts w:ascii="Arial" w:cs="Arial" w:eastAsia="Arial" w:hAnsi="Arial"/>
                <w:sz w:val="16"/>
                <w:szCs w:val="16"/>
                <w:color w:val="auto"/>
              </w:rPr>
              <w:t>2.3</w:t>
            </w:r>
          </w:p>
        </w:tc>
        <w:tc>
          <w:tcPr>
            <w:tcW w:w="80" w:type="dxa"/>
            <w:vAlign w:val="bottom"/>
            <w:vMerge w:val="restart"/>
            <w:shd w:val="clear" w:color="auto" w:fill="E3E3E3"/>
          </w:tcPr>
          <w:p>
            <w:pPr>
              <w:spacing w:after="0"/>
              <w:rPr>
                <w:sz w:val="16"/>
                <w:szCs w:val="16"/>
                <w:color w:val="auto"/>
              </w:rPr>
            </w:pPr>
          </w:p>
        </w:tc>
        <w:tc>
          <w:tcPr>
            <w:tcW w:w="200" w:type="dxa"/>
            <w:vAlign w:val="bottom"/>
            <w:vMerge w:val="restart"/>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E3E3E3"/>
          </w:tcPr>
          <w:p>
            <w:pPr>
              <w:jc w:val="center"/>
              <w:ind w:left="1"/>
              <w:spacing w:after="0"/>
              <w:rPr>
                <w:sz w:val="20"/>
                <w:szCs w:val="20"/>
                <w:color w:val="auto"/>
              </w:rPr>
            </w:pPr>
            <w:r>
              <w:rPr>
                <w:rFonts w:ascii="Arial" w:cs="Arial" w:eastAsia="Arial" w:hAnsi="Arial"/>
                <w:sz w:val="16"/>
                <w:szCs w:val="16"/>
                <w:color w:val="auto"/>
                <w:w w:val="98"/>
              </w:rPr>
              <w:t>2.3</w:t>
            </w:r>
          </w:p>
        </w:tc>
        <w:tc>
          <w:tcPr>
            <w:tcW w:w="100" w:type="dxa"/>
            <w:vAlign w:val="bottom"/>
            <w:shd w:val="clear" w:color="auto" w:fill="E3E3E3"/>
          </w:tcPr>
          <w:p>
            <w:pPr>
              <w:spacing w:after="0"/>
              <w:rPr>
                <w:sz w:val="16"/>
                <w:szCs w:val="16"/>
                <w:color w:val="auto"/>
              </w:rPr>
            </w:pPr>
          </w:p>
        </w:tc>
        <w:tc>
          <w:tcPr>
            <w:tcW w:w="220" w:type="dxa"/>
            <w:vAlign w:val="bottom"/>
            <w:vMerge w:val="restart"/>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vMerge w:val="restart"/>
            <w:shd w:val="clear" w:color="auto" w:fill="E3E3E3"/>
          </w:tcPr>
          <w:p>
            <w:pPr>
              <w:ind w:left="100"/>
              <w:spacing w:after="0"/>
              <w:rPr>
                <w:sz w:val="20"/>
                <w:szCs w:val="20"/>
                <w:color w:val="auto"/>
              </w:rPr>
            </w:pPr>
            <w:r>
              <w:rPr>
                <w:rFonts w:ascii="Arial" w:cs="Arial" w:eastAsia="Arial" w:hAnsi="Arial"/>
                <w:sz w:val="16"/>
                <w:szCs w:val="16"/>
                <w:color w:val="auto"/>
              </w:rPr>
              <w:t>3.9</w:t>
            </w:r>
          </w:p>
        </w:tc>
        <w:tc>
          <w:tcPr>
            <w:tcW w:w="80" w:type="dxa"/>
            <w:vAlign w:val="bottom"/>
            <w:shd w:val="clear" w:color="auto" w:fill="E3E3E3"/>
          </w:tcPr>
          <w:p>
            <w:pPr>
              <w:spacing w:after="0"/>
              <w:rPr>
                <w:sz w:val="16"/>
                <w:szCs w:val="16"/>
                <w:color w:val="auto"/>
              </w:rPr>
            </w:pPr>
          </w:p>
        </w:tc>
        <w:tc>
          <w:tcPr>
            <w:tcW w:w="14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E3E3E3"/>
          </w:tcPr>
          <w:p>
            <w:pPr>
              <w:ind w:left="200"/>
              <w:spacing w:after="0"/>
              <w:rPr>
                <w:sz w:val="20"/>
                <w:szCs w:val="20"/>
                <w:color w:val="auto"/>
              </w:rPr>
            </w:pPr>
            <w:r>
              <w:rPr>
                <w:rFonts w:ascii="Arial" w:cs="Arial" w:eastAsia="Arial" w:hAnsi="Arial"/>
                <w:sz w:val="16"/>
                <w:szCs w:val="16"/>
                <w:color w:val="auto"/>
              </w:rPr>
              <w:t>2.9</w:t>
            </w:r>
          </w:p>
        </w:tc>
        <w:tc>
          <w:tcPr>
            <w:tcW w:w="80" w:type="dxa"/>
            <w:vAlign w:val="bottom"/>
            <w:vMerge w:val="restart"/>
            <w:shd w:val="clear" w:color="auto" w:fill="E3E3E3"/>
          </w:tcPr>
          <w:p>
            <w:pPr>
              <w:spacing w:after="0"/>
              <w:rPr>
                <w:sz w:val="16"/>
                <w:szCs w:val="16"/>
                <w:color w:val="auto"/>
              </w:rPr>
            </w:pPr>
          </w:p>
        </w:tc>
        <w:tc>
          <w:tcPr>
            <w:tcW w:w="18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E3E3E3"/>
          </w:tcPr>
          <w:p>
            <w:pPr>
              <w:jc w:val="center"/>
              <w:ind w:left="1"/>
              <w:spacing w:after="0"/>
              <w:rPr>
                <w:sz w:val="20"/>
                <w:szCs w:val="20"/>
                <w:color w:val="auto"/>
              </w:rPr>
            </w:pPr>
            <w:r>
              <w:rPr>
                <w:rFonts w:ascii="Arial" w:cs="Arial" w:eastAsia="Arial" w:hAnsi="Arial"/>
                <w:sz w:val="16"/>
                <w:szCs w:val="16"/>
                <w:color w:val="auto"/>
              </w:rPr>
              <w:t>6.8</w:t>
            </w:r>
          </w:p>
        </w:tc>
        <w:tc>
          <w:tcPr>
            <w:tcW w:w="80" w:type="dxa"/>
            <w:vAlign w:val="bottom"/>
            <w:shd w:val="clear" w:color="auto" w:fill="E3E3E3"/>
          </w:tcPr>
          <w:p>
            <w:pPr>
              <w:spacing w:after="0"/>
              <w:rPr>
                <w:sz w:val="16"/>
                <w:szCs w:val="16"/>
                <w:color w:val="auto"/>
              </w:rPr>
            </w:pPr>
          </w:p>
        </w:tc>
        <w:tc>
          <w:tcPr>
            <w:tcW w:w="240" w:type="dxa"/>
            <w:vAlign w:val="bottom"/>
            <w:vMerge w:val="restart"/>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E3E3E3"/>
          </w:tcPr>
          <w:p>
            <w:pPr>
              <w:ind w:left="1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E3E3E3"/>
          </w:tcPr>
          <w:p>
            <w:pPr>
              <w:spacing w:after="0"/>
              <w:rPr>
                <w:sz w:val="16"/>
                <w:szCs w:val="16"/>
                <w:color w:val="auto"/>
              </w:rPr>
            </w:pPr>
          </w:p>
        </w:tc>
        <w:tc>
          <w:tcPr>
            <w:tcW w:w="14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E3E3E3"/>
          </w:tcPr>
          <w:p>
            <w:pPr>
              <w:ind w:left="200"/>
              <w:spacing w:after="0"/>
              <w:rPr>
                <w:sz w:val="20"/>
                <w:szCs w:val="20"/>
                <w:color w:val="auto"/>
              </w:rPr>
            </w:pPr>
            <w:r>
              <w:rPr>
                <w:rFonts w:ascii="Arial" w:cs="Arial" w:eastAsia="Arial" w:hAnsi="Arial"/>
                <w:sz w:val="16"/>
                <w:szCs w:val="16"/>
                <w:color w:val="auto"/>
              </w:rPr>
              <w:t>8.0</w:t>
            </w:r>
          </w:p>
        </w:tc>
        <w:tc>
          <w:tcPr>
            <w:tcW w:w="80" w:type="dxa"/>
            <w:vAlign w:val="bottom"/>
            <w:vMerge w:val="restart"/>
            <w:shd w:val="clear" w:color="auto" w:fill="E3E3E3"/>
          </w:tcPr>
          <w:p>
            <w:pPr>
              <w:spacing w:after="0"/>
              <w:rPr>
                <w:sz w:val="16"/>
                <w:szCs w:val="16"/>
                <w:color w:val="auto"/>
              </w:rPr>
            </w:pPr>
          </w:p>
        </w:tc>
        <w:tc>
          <w:tcPr>
            <w:tcW w:w="200" w:type="dxa"/>
            <w:vAlign w:val="bottom"/>
            <w:vMerge w:val="restart"/>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E3E3E3"/>
          </w:tcPr>
          <w:p>
            <w:pPr>
              <w:jc w:val="center"/>
              <w:ind w:left="1"/>
              <w:spacing w:after="0"/>
              <w:rPr>
                <w:sz w:val="20"/>
                <w:szCs w:val="20"/>
                <w:color w:val="auto"/>
              </w:rPr>
            </w:pPr>
            <w:r>
              <w:rPr>
                <w:rFonts w:ascii="Arial" w:cs="Arial" w:eastAsia="Arial" w:hAnsi="Arial"/>
                <w:sz w:val="16"/>
                <w:szCs w:val="16"/>
                <w:color w:val="auto"/>
                <w:w w:val="98"/>
              </w:rPr>
              <w:t>8.0</w:t>
            </w:r>
          </w:p>
        </w:tc>
        <w:tc>
          <w:tcPr>
            <w:tcW w:w="80" w:type="dxa"/>
            <w:vAlign w:val="bottom"/>
            <w:shd w:val="clear" w:color="auto" w:fill="E3E3E3"/>
          </w:tcPr>
          <w:p>
            <w:pPr>
              <w:spacing w:after="0"/>
              <w:rPr>
                <w:sz w:val="16"/>
                <w:szCs w:val="16"/>
                <w:color w:val="auto"/>
              </w:rPr>
            </w:pPr>
          </w:p>
        </w:tc>
        <w:tc>
          <w:tcPr>
            <w:tcW w:w="200" w:type="dxa"/>
            <w:vAlign w:val="bottom"/>
            <w:vMerge w:val="restart"/>
            <w:shd w:val="clear" w:color="auto" w:fill="E3E3E3"/>
          </w:tcPr>
          <w:p>
            <w:pPr>
              <w:ind w:left="20"/>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E3E3E3"/>
          </w:tcPr>
          <w:p>
            <w:pPr>
              <w:jc w:val="right"/>
              <w:ind w:right="119"/>
              <w:spacing w:after="0"/>
              <w:rPr>
                <w:sz w:val="20"/>
                <w:szCs w:val="20"/>
                <w:color w:val="auto"/>
              </w:rPr>
            </w:pPr>
            <w:r>
              <w:rPr>
                <w:rFonts w:ascii="Arial" w:cs="Arial" w:eastAsia="Arial" w:hAnsi="Arial"/>
                <w:sz w:val="16"/>
                <w:szCs w:val="16"/>
                <w:color w:val="auto"/>
              </w:rPr>
              <w:t>11.7</w:t>
            </w:r>
          </w:p>
        </w:tc>
        <w:tc>
          <w:tcPr>
            <w:tcW w:w="80" w:type="dxa"/>
            <w:vAlign w:val="bottom"/>
            <w:shd w:val="clear" w:color="auto" w:fill="E3E3E3"/>
          </w:tcPr>
          <w:p>
            <w:pPr>
              <w:spacing w:after="0"/>
              <w:rPr>
                <w:sz w:val="16"/>
                <w:szCs w:val="16"/>
                <w:color w:val="auto"/>
              </w:rPr>
            </w:pPr>
          </w:p>
        </w:tc>
        <w:tc>
          <w:tcPr>
            <w:tcW w:w="140" w:type="dxa"/>
            <w:vAlign w:val="bottom"/>
            <w:vMerge w:val="restart"/>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E3E3E3"/>
          </w:tcPr>
          <w:p>
            <w:pPr>
              <w:ind w:left="200"/>
              <w:spacing w:after="0"/>
              <w:rPr>
                <w:sz w:val="20"/>
                <w:szCs w:val="20"/>
                <w:color w:val="auto"/>
              </w:rPr>
            </w:pPr>
            <w:r>
              <w:rPr>
                <w:rFonts w:ascii="Arial" w:cs="Arial" w:eastAsia="Arial" w:hAnsi="Arial"/>
                <w:sz w:val="16"/>
                <w:szCs w:val="16"/>
                <w:color w:val="auto"/>
              </w:rPr>
              <w:t>8.8</w:t>
            </w:r>
          </w:p>
        </w:tc>
        <w:tc>
          <w:tcPr>
            <w:tcW w:w="80" w:type="dxa"/>
            <w:vAlign w:val="bottom"/>
            <w:vMerge w:val="restart"/>
            <w:shd w:val="clear" w:color="auto" w:fill="E3E3E3"/>
          </w:tcPr>
          <w:p>
            <w:pPr>
              <w:spacing w:after="0"/>
              <w:rPr>
                <w:sz w:val="16"/>
                <w:szCs w:val="16"/>
                <w:color w:val="auto"/>
              </w:rPr>
            </w:pPr>
          </w:p>
        </w:tc>
        <w:tc>
          <w:tcPr>
            <w:tcW w:w="200" w:type="dxa"/>
            <w:vAlign w:val="bottom"/>
            <w:vMerge w:val="restart"/>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E3E3E3"/>
          </w:tcPr>
          <w:p>
            <w:pPr>
              <w:jc w:val="right"/>
              <w:ind w:right="1"/>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36"/>
        </w:trPr>
        <w:tc>
          <w:tcPr>
            <w:tcW w:w="160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expense</w:t>
            </w:r>
          </w:p>
        </w:tc>
        <w:tc>
          <w:tcPr>
            <w:tcW w:w="220" w:type="dxa"/>
            <w:vAlign w:val="bottom"/>
            <w:tcBorders>
              <w:bottom w:val="single" w:sz="8" w:color="auto"/>
            </w:tcBorders>
            <w:vMerge w:val="continue"/>
            <w:shd w:val="clear" w:color="auto" w:fill="E3E3E3"/>
          </w:tcPr>
          <w:p>
            <w:pPr>
              <w:spacing w:after="0"/>
              <w:rPr>
                <w:sz w:val="20"/>
                <w:szCs w:val="20"/>
                <w:color w:val="auto"/>
              </w:rPr>
            </w:pPr>
          </w:p>
        </w:tc>
        <w:tc>
          <w:tcPr>
            <w:tcW w:w="52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vMerge w:val="continue"/>
            <w:shd w:val="clear" w:color="auto" w:fill="E3E3E3"/>
          </w:tcPr>
          <w:p>
            <w:pPr>
              <w:spacing w:after="0"/>
              <w:rPr>
                <w:sz w:val="20"/>
                <w:szCs w:val="20"/>
                <w:color w:val="auto"/>
              </w:rPr>
            </w:pPr>
          </w:p>
        </w:tc>
        <w:tc>
          <w:tcPr>
            <w:tcW w:w="140" w:type="dxa"/>
            <w:vAlign w:val="bottom"/>
            <w:tcBorders>
              <w:bottom w:val="single" w:sz="8" w:color="auto"/>
            </w:tcBorders>
            <w:vMerge w:val="continue"/>
            <w:shd w:val="clear" w:color="auto" w:fill="E3E3E3"/>
          </w:tcPr>
          <w:p>
            <w:pPr>
              <w:spacing w:after="0"/>
              <w:rPr>
                <w:sz w:val="20"/>
                <w:szCs w:val="20"/>
                <w:color w:val="auto"/>
              </w:rPr>
            </w:pPr>
          </w:p>
        </w:tc>
        <w:tc>
          <w:tcPr>
            <w:tcW w:w="64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vMerge w:val="continue"/>
            <w:shd w:val="clear" w:color="auto" w:fill="E3E3E3"/>
          </w:tcPr>
          <w:p>
            <w:pPr>
              <w:spacing w:after="0"/>
              <w:rPr>
                <w:sz w:val="20"/>
                <w:szCs w:val="20"/>
                <w:color w:val="auto"/>
              </w:rPr>
            </w:pPr>
          </w:p>
        </w:tc>
        <w:tc>
          <w:tcPr>
            <w:tcW w:w="200" w:type="dxa"/>
            <w:vAlign w:val="bottom"/>
            <w:tcBorders>
              <w:bottom w:val="single" w:sz="8" w:color="auto"/>
            </w:tcBorders>
            <w:vMerge w:val="continue"/>
            <w:shd w:val="clear" w:color="auto" w:fill="E3E3E3"/>
          </w:tcPr>
          <w:p>
            <w:pPr>
              <w:spacing w:after="0"/>
              <w:rPr>
                <w:sz w:val="20"/>
                <w:szCs w:val="20"/>
                <w:color w:val="auto"/>
              </w:rPr>
            </w:pPr>
          </w:p>
        </w:tc>
        <w:tc>
          <w:tcPr>
            <w:tcW w:w="420" w:type="dxa"/>
            <w:vAlign w:val="bottom"/>
            <w:tcBorders>
              <w:bottom w:val="single" w:sz="8" w:color="auto"/>
            </w:tcBorders>
            <w:vMerge w:val="continue"/>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20" w:type="dxa"/>
            <w:vAlign w:val="bottom"/>
            <w:tcBorders>
              <w:bottom w:val="single" w:sz="8" w:color="auto"/>
            </w:tcBorders>
            <w:vMerge w:val="continue"/>
            <w:shd w:val="clear" w:color="auto" w:fill="E3E3E3"/>
          </w:tcPr>
          <w:p>
            <w:pPr>
              <w:spacing w:after="0"/>
              <w:rPr>
                <w:sz w:val="20"/>
                <w:szCs w:val="20"/>
                <w:color w:val="auto"/>
              </w:rPr>
            </w:pPr>
          </w:p>
        </w:tc>
        <w:tc>
          <w:tcPr>
            <w:tcW w:w="54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40" w:type="dxa"/>
            <w:vAlign w:val="bottom"/>
            <w:tcBorders>
              <w:bottom w:val="single" w:sz="8" w:color="auto"/>
            </w:tcBorders>
            <w:vMerge w:val="continue"/>
            <w:shd w:val="clear" w:color="auto" w:fill="E3E3E3"/>
          </w:tcPr>
          <w:p>
            <w:pPr>
              <w:spacing w:after="0"/>
              <w:rPr>
                <w:sz w:val="20"/>
                <w:szCs w:val="20"/>
                <w:color w:val="auto"/>
              </w:rPr>
            </w:pPr>
          </w:p>
        </w:tc>
        <w:tc>
          <w:tcPr>
            <w:tcW w:w="64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vMerge w:val="continue"/>
            <w:shd w:val="clear" w:color="auto" w:fill="E3E3E3"/>
          </w:tcPr>
          <w:p>
            <w:pPr>
              <w:spacing w:after="0"/>
              <w:rPr>
                <w:sz w:val="20"/>
                <w:szCs w:val="20"/>
                <w:color w:val="auto"/>
              </w:rPr>
            </w:pPr>
          </w:p>
        </w:tc>
        <w:tc>
          <w:tcPr>
            <w:tcW w:w="180" w:type="dxa"/>
            <w:vAlign w:val="bottom"/>
            <w:tcBorders>
              <w:bottom w:val="single" w:sz="8" w:color="auto"/>
            </w:tcBorders>
            <w:vMerge w:val="continue"/>
            <w:shd w:val="clear" w:color="auto" w:fill="E3E3E3"/>
          </w:tcPr>
          <w:p>
            <w:pPr>
              <w:spacing w:after="0"/>
              <w:rPr>
                <w:sz w:val="20"/>
                <w:szCs w:val="20"/>
                <w:color w:val="auto"/>
              </w:rPr>
            </w:pPr>
          </w:p>
        </w:tc>
        <w:tc>
          <w:tcPr>
            <w:tcW w:w="44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40" w:type="dxa"/>
            <w:vAlign w:val="bottom"/>
            <w:tcBorders>
              <w:bottom w:val="single" w:sz="8" w:color="auto"/>
            </w:tcBorders>
            <w:vMerge w:val="continue"/>
            <w:shd w:val="clear" w:color="auto" w:fill="E3E3E3"/>
          </w:tcPr>
          <w:p>
            <w:pPr>
              <w:spacing w:after="0"/>
              <w:rPr>
                <w:sz w:val="20"/>
                <w:szCs w:val="20"/>
                <w:color w:val="auto"/>
              </w:rPr>
            </w:pPr>
          </w:p>
        </w:tc>
        <w:tc>
          <w:tcPr>
            <w:tcW w:w="52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vMerge w:val="continue"/>
            <w:shd w:val="clear" w:color="auto" w:fill="E3E3E3"/>
          </w:tcPr>
          <w:p>
            <w:pPr>
              <w:spacing w:after="0"/>
              <w:rPr>
                <w:sz w:val="20"/>
                <w:szCs w:val="20"/>
                <w:color w:val="auto"/>
              </w:rPr>
            </w:pPr>
          </w:p>
        </w:tc>
        <w:tc>
          <w:tcPr>
            <w:tcW w:w="140" w:type="dxa"/>
            <w:vAlign w:val="bottom"/>
            <w:tcBorders>
              <w:bottom w:val="single" w:sz="8" w:color="auto"/>
            </w:tcBorders>
            <w:vMerge w:val="continue"/>
            <w:shd w:val="clear" w:color="auto" w:fill="E3E3E3"/>
          </w:tcPr>
          <w:p>
            <w:pPr>
              <w:spacing w:after="0"/>
              <w:rPr>
                <w:sz w:val="20"/>
                <w:szCs w:val="20"/>
                <w:color w:val="auto"/>
              </w:rPr>
            </w:pPr>
          </w:p>
        </w:tc>
        <w:tc>
          <w:tcPr>
            <w:tcW w:w="64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vMerge w:val="continue"/>
            <w:shd w:val="clear" w:color="auto" w:fill="E3E3E3"/>
          </w:tcPr>
          <w:p>
            <w:pPr>
              <w:spacing w:after="0"/>
              <w:rPr>
                <w:sz w:val="20"/>
                <w:szCs w:val="20"/>
                <w:color w:val="auto"/>
              </w:rPr>
            </w:pPr>
          </w:p>
        </w:tc>
        <w:tc>
          <w:tcPr>
            <w:tcW w:w="200" w:type="dxa"/>
            <w:vAlign w:val="bottom"/>
            <w:tcBorders>
              <w:bottom w:val="single" w:sz="8" w:color="auto"/>
            </w:tcBorders>
            <w:vMerge w:val="continue"/>
            <w:shd w:val="clear" w:color="auto" w:fill="E3E3E3"/>
          </w:tcPr>
          <w:p>
            <w:pPr>
              <w:spacing w:after="0"/>
              <w:rPr>
                <w:sz w:val="20"/>
                <w:szCs w:val="20"/>
                <w:color w:val="auto"/>
              </w:rPr>
            </w:pPr>
          </w:p>
        </w:tc>
        <w:tc>
          <w:tcPr>
            <w:tcW w:w="42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0" w:type="dxa"/>
            <w:vAlign w:val="bottom"/>
            <w:tcBorders>
              <w:bottom w:val="single" w:sz="8" w:color="auto"/>
            </w:tcBorders>
            <w:vMerge w:val="continue"/>
            <w:shd w:val="clear" w:color="auto" w:fill="E3E3E3"/>
          </w:tcPr>
          <w:p>
            <w:pPr>
              <w:spacing w:after="0"/>
              <w:rPr>
                <w:sz w:val="20"/>
                <w:szCs w:val="20"/>
                <w:color w:val="auto"/>
              </w:rPr>
            </w:pPr>
          </w:p>
        </w:tc>
        <w:tc>
          <w:tcPr>
            <w:tcW w:w="60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40" w:type="dxa"/>
            <w:vAlign w:val="bottom"/>
            <w:tcBorders>
              <w:bottom w:val="single" w:sz="8" w:color="auto"/>
            </w:tcBorders>
            <w:vMerge w:val="continue"/>
            <w:shd w:val="clear" w:color="auto" w:fill="E3E3E3"/>
          </w:tcPr>
          <w:p>
            <w:pPr>
              <w:spacing w:after="0"/>
              <w:rPr>
                <w:sz w:val="20"/>
                <w:szCs w:val="20"/>
                <w:color w:val="auto"/>
              </w:rPr>
            </w:pPr>
          </w:p>
        </w:tc>
        <w:tc>
          <w:tcPr>
            <w:tcW w:w="640" w:type="dxa"/>
            <w:vAlign w:val="bottom"/>
            <w:tcBorders>
              <w:bottom w:val="single" w:sz="8" w:color="auto"/>
            </w:tcBorders>
            <w:vMerge w:val="continue"/>
            <w:shd w:val="clear" w:color="auto" w:fill="E3E3E3"/>
          </w:tcPr>
          <w:p>
            <w:pPr>
              <w:spacing w:after="0"/>
              <w:rPr>
                <w:sz w:val="20"/>
                <w:szCs w:val="20"/>
                <w:color w:val="auto"/>
              </w:rPr>
            </w:pPr>
          </w:p>
        </w:tc>
        <w:tc>
          <w:tcPr>
            <w:tcW w:w="80" w:type="dxa"/>
            <w:vAlign w:val="bottom"/>
            <w:tcBorders>
              <w:bottom w:val="single" w:sz="8" w:color="E3E3E3"/>
            </w:tcBorders>
            <w:vMerge w:val="continue"/>
            <w:shd w:val="clear" w:color="auto" w:fill="E3E3E3"/>
          </w:tcPr>
          <w:p>
            <w:pPr>
              <w:spacing w:after="0"/>
              <w:rPr>
                <w:sz w:val="20"/>
                <w:szCs w:val="20"/>
                <w:color w:val="auto"/>
              </w:rPr>
            </w:pPr>
          </w:p>
        </w:tc>
        <w:tc>
          <w:tcPr>
            <w:tcW w:w="200" w:type="dxa"/>
            <w:vAlign w:val="bottom"/>
            <w:tcBorders>
              <w:bottom w:val="single" w:sz="8" w:color="auto"/>
            </w:tcBorders>
            <w:vMerge w:val="continue"/>
            <w:shd w:val="clear" w:color="auto" w:fill="E3E3E3"/>
          </w:tcPr>
          <w:p>
            <w:pPr>
              <w:spacing w:after="0"/>
              <w:rPr>
                <w:sz w:val="20"/>
                <w:szCs w:val="20"/>
                <w:color w:val="auto"/>
              </w:rPr>
            </w:pPr>
          </w:p>
        </w:tc>
        <w:tc>
          <w:tcPr>
            <w:tcW w:w="480" w:type="dxa"/>
            <w:vAlign w:val="bottom"/>
            <w:tcBorders>
              <w:bottom w:val="single" w:sz="8" w:color="auto"/>
            </w:tcBorders>
            <w:vMerge w:val="continue"/>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00" w:type="dxa"/>
            <w:vAlign w:val="bottom"/>
          </w:tcPr>
          <w:p>
            <w:pPr>
              <w:ind w:left="20"/>
              <w:spacing w:after="0"/>
              <w:rPr>
                <w:sz w:val="20"/>
                <w:szCs w:val="20"/>
                <w:color w:val="auto"/>
              </w:rPr>
            </w:pPr>
            <w:r>
              <w:rPr>
                <w:rFonts w:ascii="Arial" w:cs="Arial" w:eastAsia="Arial" w:hAnsi="Arial"/>
                <w:sz w:val="16"/>
                <w:szCs w:val="16"/>
                <w:color w:val="auto"/>
              </w:rPr>
              <w:t>Effective interest rate</w:t>
            </w:r>
          </w:p>
        </w:tc>
        <w:tc>
          <w:tcPr>
            <w:tcW w:w="22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ind w:left="100"/>
              <w:spacing w:after="0"/>
              <w:rPr>
                <w:sz w:val="20"/>
                <w:szCs w:val="20"/>
                <w:color w:val="auto"/>
              </w:rPr>
            </w:pPr>
            <w:r>
              <w:rPr>
                <w:rFonts w:ascii="Arial" w:cs="Arial" w:eastAsia="Arial" w:hAnsi="Arial"/>
                <w:sz w:val="16"/>
                <w:szCs w:val="16"/>
                <w:color w:val="auto"/>
              </w:rPr>
              <w:t>0.9 %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 Hedges</w:t>
      </w:r>
    </w:p>
    <w:p>
      <w:pPr>
        <w:spacing w:after="0" w:line="11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To minimize the impact of potential economic dilution upon conversion of our convertible senior notes, we entered into separate convertible note hedge transactions (the “2023 Note Hedges,” with respect to the 2023 Notes, the “2025 Note Hedges,” with respect to the 2025 Notes, and the 2023 Note Hedges together with 2025 Note Hedges, the “Note Hedges”) with respect to our common stock concurrent with the issuance of each series of the Notes.</w:t>
      </w:r>
    </w:p>
    <w:p>
      <w:pPr>
        <w:spacing w:after="0" w:line="5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Upon the settlement of the 2023 Notes, we exercised the corresponding portion of our 2023 Note Hedges during the year ended July 31, 2023 and received shares of our common stock that fully offset the shares issued in excess of the principal amount of the converted 2023 Notes. The 2023 Note Hedges expired upon maturity of the 2023 Notes.</w:t>
      </w:r>
    </w:p>
    <w:p>
      <w:pPr>
        <w:spacing w:after="0" w:line="56"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2025 Note Hedges cover up to 20.1 million shares of our common stock at a strike price per share that corresponds to the initial conversion price of the 2025 Notes, which are also subject to adjustment, and are exercisable upon conversion of the 2025 Notes. The 2025 Note Hedges will expire upon maturity of the 2025 Notes. The 2025 Note Hedges are separate transactions and are not part of the terms of the 2025 Notes. Holders of the 2025 Notes will not have any rights with respect to the 2025 Note Hedges. Any shares of our common stock receivable by us under the 2025 Note Hedges are excluded from the calculation of diluted earnings per share as they are antidilutive. We paid an aggregate amount of $370.8 million for the 2025 Note Hedges, which is included in additional paid-in capital on our condensed consolidated balance sheets.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As a result of the conversions of the 2025 Notes settled during the three and nine months ended April 30, 2024, we exercised the corresponding portion of our 2025 Note Hedges and received 4.6 million and 5.7 million shares of our common stock during the respective periods.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11"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Separately, but concurrently with the issuance of each series of our convertible senior notes, we entered into transactions whereby we sold warrants (the “2023 Warrants,” with respect to the 2023 Notes, the “2025 Warrants,” with respect to the 2025 Notes, and the 2023 Warrants together with the 2025 Warrants, the “Warrants”) to acquire shares of our common stock, subject to anti-dilution adjustments. The 2023 Warrants and 2025 Warrants are exercisable over 60 scheduled trading days beginning October 2023 and September 2025,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details of our Warrants (in millions,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4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Initial Number of</w:t>
            </w:r>
          </w:p>
        </w:tc>
        <w:tc>
          <w:tcPr>
            <w:tcW w:w="2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Strike Price per</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5"/>
        </w:trPr>
        <w:tc>
          <w:tcPr>
            <w:tcW w:w="4000" w:type="dxa"/>
            <w:vAlign w:val="bottom"/>
          </w:tcPr>
          <w:p>
            <w:pPr>
              <w:spacing w:after="0"/>
              <w:rPr>
                <w:sz w:val="17"/>
                <w:szCs w:val="17"/>
                <w:color w:val="auto"/>
              </w:rPr>
            </w:pPr>
          </w:p>
        </w:tc>
        <w:tc>
          <w:tcPr>
            <w:tcW w:w="4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Share</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 Proceeds</w:t>
            </w:r>
          </w:p>
        </w:tc>
      </w:tr>
      <w:tr>
        <w:trPr>
          <w:trHeight w:val="243"/>
        </w:trPr>
        <w:tc>
          <w:tcPr>
            <w:tcW w:w="400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2023 Warrants</w:t>
            </w:r>
          </w:p>
        </w:tc>
        <w:tc>
          <w:tcPr>
            <w:tcW w:w="4080" w:type="dxa"/>
            <w:vAlign w:val="bottom"/>
            <w:tcBorders>
              <w:top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19.1</w:t>
            </w:r>
          </w:p>
        </w:tc>
        <w:tc>
          <w:tcPr>
            <w:tcW w:w="100" w:type="dxa"/>
            <w:vAlign w:val="bottom"/>
            <w:tcBorders>
              <w:top w:val="single" w:sz="8" w:color="E3E3E3"/>
            </w:tcBorders>
            <w:shd w:val="clear" w:color="auto" w:fill="E3E3E3"/>
          </w:tcPr>
          <w:p>
            <w:pPr>
              <w:spacing w:after="0"/>
              <w:rPr>
                <w:sz w:val="21"/>
                <w:szCs w:val="21"/>
                <w:color w:val="auto"/>
              </w:rPr>
            </w:pPr>
          </w:p>
        </w:tc>
        <w:tc>
          <w:tcPr>
            <w:tcW w:w="260" w:type="dxa"/>
            <w:vAlign w:val="bottom"/>
            <w:tcBorders>
              <w:top w:val="single" w:sz="8" w:color="auto"/>
            </w:tcBorders>
            <w:shd w:val="clear" w:color="auto" w:fill="E3E3E3"/>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139.27</w:t>
            </w:r>
          </w:p>
        </w:tc>
        <w:tc>
          <w:tcPr>
            <w:tcW w:w="100" w:type="dxa"/>
            <w:vAlign w:val="bottom"/>
            <w:tcBorders>
              <w:top w:val="single" w:sz="8" w:color="E3E3E3"/>
            </w:tcBorders>
            <w:shd w:val="clear" w:color="auto" w:fill="E3E3E3"/>
          </w:tcPr>
          <w:p>
            <w:pPr>
              <w:spacing w:after="0"/>
              <w:rPr>
                <w:sz w:val="21"/>
                <w:szCs w:val="21"/>
                <w:color w:val="auto"/>
              </w:rPr>
            </w:pPr>
          </w:p>
        </w:tc>
        <w:tc>
          <w:tcPr>
            <w:tcW w:w="560" w:type="dxa"/>
            <w:vAlign w:val="bottom"/>
            <w:tcBorders>
              <w:top w:val="single" w:sz="8" w:color="auto"/>
            </w:tcBorders>
            <w:shd w:val="clear" w:color="auto" w:fill="E3E3E3"/>
          </w:tcPr>
          <w:p>
            <w:pPr>
              <w:jc w:val="right"/>
              <w:ind w:right="362"/>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145.4</w:t>
            </w:r>
          </w:p>
        </w:tc>
      </w:tr>
      <w:tr>
        <w:trPr>
          <w:trHeight w:val="227"/>
        </w:trPr>
        <w:tc>
          <w:tcPr>
            <w:tcW w:w="4000" w:type="dxa"/>
            <w:vAlign w:val="bottom"/>
          </w:tcPr>
          <w:p>
            <w:pPr>
              <w:ind w:left="20"/>
              <w:spacing w:after="0"/>
              <w:rPr>
                <w:sz w:val="20"/>
                <w:szCs w:val="20"/>
                <w:color w:val="auto"/>
              </w:rPr>
            </w:pPr>
            <w:r>
              <w:rPr>
                <w:rFonts w:ascii="Arial" w:cs="Arial" w:eastAsia="Arial" w:hAnsi="Arial"/>
                <w:sz w:val="16"/>
                <w:szCs w:val="16"/>
                <w:color w:val="auto"/>
              </w:rPr>
              <w:t>2025 Warrants</w:t>
            </w:r>
          </w:p>
        </w:tc>
        <w:tc>
          <w:tcPr>
            <w:tcW w:w="4080" w:type="dxa"/>
            <w:vAlign w:val="bottom"/>
          </w:tcPr>
          <w:p>
            <w:pPr>
              <w:jc w:val="right"/>
              <w:ind w:right="4"/>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136.16</w:t>
            </w:r>
          </w:p>
        </w:tc>
        <w:tc>
          <w:tcPr>
            <w:tcW w:w="100" w:type="dxa"/>
            <w:vAlign w:val="bottom"/>
          </w:tcPr>
          <w:p>
            <w:pPr>
              <w:spacing w:after="0"/>
              <w:rPr>
                <w:sz w:val="19"/>
                <w:szCs w:val="19"/>
                <w:color w:val="auto"/>
              </w:rPr>
            </w:pP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202.8</w:t>
            </w:r>
          </w:p>
        </w:tc>
      </w:tr>
    </w:tbl>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shares issuable under the Warrants are included in the calculation of diluted earnings per share when the average market value per share of our common stock for the reporting period exceeds the applicable strike price for such series of Warrants. The Warrants are separate transactions and are not part of either series of Notes or Note Hedges and are not remeasured through earnings each reporting period. Holders of the Notes of either series will not have any rights with respect to the Warrants. The aggregate proceeds received from the sale of the Warrants are included in additional paid-in capital on our condensed consolidated balance sheets.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April 30, 2024, we net settled all of the 2023 Warrants with 9.0 million shares of our common stock with a fair value of</w:t>
      </w:r>
    </w:p>
    <w:p>
      <w:pPr>
        <w:spacing w:after="0" w:line="21"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$2.4 billion. The number of net shares issued was determined based on the number of 2023 Warrants exercised multiplied by the difference between the strike price of the 2023 Warrants and their daily volume-weighted-average stock price.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On April 13, 2023, we entered into a credit agreement (the “Credit Agreement”) with certain institutional lenders that provides for a $400.0 million unsecured revolving credit facility (the “Credit Facility”), with an option to increase the amount of the Credit Facility by up to an additional $350.0 million, subject to certain conditions. The Credit Facility matures on April 13, 2028.</w:t>
      </w:r>
    </w:p>
    <w:p>
      <w:pPr>
        <w:spacing w:after="0" w:line="5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borrowings under the Credit Facility bear interest, at our option, at a base rate plus a spread of 0.000% to 0.375%, or an adjusted term Secured Overnight Financing Rate (“SOFR”) plus a spread of 1.000% to 1.375%, in each case with such spread being determined based on our leverage ratio. We are obligated to pay an ongoing commitment fee on undrawn amounts at a rate of 0.090% to 0.150%, depending on our leverage ratio. The interest rates and commitment fees are also subject to upward and downward adjustments based on our progress towards the achievement of certain sustainability goals related to greenhouse gas emissions.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As of April 30, 2024, there were no amounts outstanding and we were in compliance with all covenants under the Credit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Commitments and Contingencies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Commitments</w:t>
      </w:r>
    </w:p>
    <w:p>
      <w:pPr>
        <w:spacing w:after="0" w:line="12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have entered into various non-cancelable agreements with cloud service providers, under which we are committed to minimum or fixed purchases of certain cloud services. In addition, in order to reduce manufacturing lead times and plan for adequate supply, we have entered into agreements with manufacturing partners and component suppliers to procure inventory based on our demand forecasts. The following table presents details of the aggregate future non-cancelable purchase commitments under these agreements as of April 30, 2024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Fiscal years ending July 31,</w:t>
            </w: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3"/>
        </w:trPr>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2029 and</w:t>
            </w:r>
          </w:p>
        </w:tc>
      </w:tr>
      <w:tr>
        <w:trPr>
          <w:trHeight w:val="205"/>
        </w:trPr>
        <w:tc>
          <w:tcPr>
            <w:tcW w:w="2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Remaining 2024</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2580" w:type="dxa"/>
            <w:vAlign w:val="bottom"/>
            <w:tcBorders>
              <w:top w:val="single" w:sz="8" w:color="auto"/>
            </w:tcBorders>
            <w:shd w:val="clear" w:color="auto" w:fill="E3E3E3"/>
          </w:tcPr>
          <w:p>
            <w:pPr>
              <w:ind w:left="20"/>
              <w:spacing w:after="0"/>
              <w:rPr>
                <w:sz w:val="20"/>
                <w:szCs w:val="20"/>
                <w:color w:val="auto"/>
              </w:rPr>
            </w:pPr>
            <w:r>
              <w:rPr>
                <w:rFonts w:ascii="Arial" w:cs="Arial" w:eastAsia="Arial" w:hAnsi="Arial"/>
                <w:sz w:val="16"/>
                <w:szCs w:val="16"/>
                <w:color w:val="auto"/>
              </w:rPr>
              <w:t>Cloud</w:t>
            </w:r>
          </w:p>
        </w:tc>
        <w:tc>
          <w:tcPr>
            <w:tcW w:w="340" w:type="dxa"/>
            <w:vAlign w:val="bottom"/>
            <w:tcBorders>
              <w:top w:val="single" w:sz="8" w:color="auto"/>
            </w:tcBorders>
            <w:shd w:val="clear" w:color="auto" w:fill="E3E3E3"/>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4,338.4</w:t>
            </w:r>
          </w:p>
        </w:tc>
        <w:tc>
          <w:tcPr>
            <w:tcW w:w="80" w:type="dxa"/>
            <w:vAlign w:val="bottom"/>
            <w:tcBorders>
              <w:top w:val="single" w:sz="8" w:color="E3E3E3"/>
            </w:tcBorders>
            <w:shd w:val="clear" w:color="auto" w:fill="E3E3E3"/>
          </w:tcPr>
          <w:p>
            <w:pPr>
              <w:spacing w:after="0"/>
              <w:rPr>
                <w:sz w:val="21"/>
                <w:szCs w:val="21"/>
                <w:color w:val="auto"/>
              </w:rPr>
            </w:pPr>
          </w:p>
        </w:tc>
        <w:tc>
          <w:tcPr>
            <w:tcW w:w="440" w:type="dxa"/>
            <w:vAlign w:val="bottom"/>
            <w:tcBorders>
              <w:top w:val="single" w:sz="8" w:color="auto"/>
            </w:tcBorders>
            <w:shd w:val="clear" w:color="auto" w:fill="E3E3E3"/>
          </w:tcPr>
          <w:p>
            <w:pPr>
              <w:jc w:val="right"/>
              <w:ind w:right="242"/>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top w:val="single" w:sz="8" w:color="E3E3E3"/>
            </w:tcBorders>
            <w:shd w:val="clear" w:color="auto" w:fill="E3E3E3"/>
          </w:tcPr>
          <w:p>
            <w:pPr>
              <w:spacing w:after="0"/>
              <w:rPr>
                <w:sz w:val="21"/>
                <w:szCs w:val="21"/>
                <w:color w:val="auto"/>
              </w:rPr>
            </w:pPr>
          </w:p>
        </w:tc>
        <w:tc>
          <w:tcPr>
            <w:tcW w:w="220" w:type="dxa"/>
            <w:vAlign w:val="bottom"/>
            <w:tcBorders>
              <w:top w:val="single" w:sz="8" w:color="auto"/>
            </w:tcBorders>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251.8</w:t>
            </w:r>
          </w:p>
        </w:tc>
        <w:tc>
          <w:tcPr>
            <w:tcW w:w="80" w:type="dxa"/>
            <w:vAlign w:val="bottom"/>
            <w:tcBorders>
              <w:top w:val="single" w:sz="8" w:color="E3E3E3"/>
            </w:tcBorders>
            <w:shd w:val="clear" w:color="auto" w:fill="E3E3E3"/>
          </w:tcPr>
          <w:p>
            <w:pPr>
              <w:spacing w:after="0"/>
              <w:rPr>
                <w:sz w:val="21"/>
                <w:szCs w:val="21"/>
                <w:color w:val="auto"/>
              </w:rPr>
            </w:pPr>
          </w:p>
        </w:tc>
        <w:tc>
          <w:tcPr>
            <w:tcW w:w="18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581.1</w:t>
            </w:r>
          </w:p>
        </w:tc>
        <w:tc>
          <w:tcPr>
            <w:tcW w:w="80" w:type="dxa"/>
            <w:vAlign w:val="bottom"/>
            <w:tcBorders>
              <w:top w:val="single" w:sz="8" w:color="E3E3E3"/>
            </w:tcBorders>
            <w:shd w:val="clear" w:color="auto" w:fill="E3E3E3"/>
          </w:tcPr>
          <w:p>
            <w:pPr>
              <w:spacing w:after="0"/>
              <w:rPr>
                <w:sz w:val="21"/>
                <w:szCs w:val="21"/>
                <w:color w:val="auto"/>
              </w:rPr>
            </w:pPr>
          </w:p>
        </w:tc>
        <w:tc>
          <w:tcPr>
            <w:tcW w:w="400" w:type="dxa"/>
            <w:vAlign w:val="bottom"/>
            <w:tcBorders>
              <w:top w:val="single" w:sz="8" w:color="auto"/>
            </w:tcBorders>
            <w:shd w:val="clear" w:color="auto" w:fill="E3E3E3"/>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518.1</w:t>
            </w:r>
          </w:p>
        </w:tc>
        <w:tc>
          <w:tcPr>
            <w:tcW w:w="80" w:type="dxa"/>
            <w:vAlign w:val="bottom"/>
            <w:tcBorders>
              <w:top w:val="single" w:sz="8" w:color="E3E3E3"/>
            </w:tcBorders>
            <w:shd w:val="clear" w:color="auto" w:fill="E3E3E3"/>
          </w:tcPr>
          <w:p>
            <w:pPr>
              <w:spacing w:after="0"/>
              <w:rPr>
                <w:sz w:val="21"/>
                <w:szCs w:val="21"/>
                <w:color w:val="auto"/>
              </w:rPr>
            </w:pPr>
          </w:p>
        </w:tc>
        <w:tc>
          <w:tcPr>
            <w:tcW w:w="400" w:type="dxa"/>
            <w:vAlign w:val="bottom"/>
            <w:tcBorders>
              <w:top w:val="single" w:sz="8" w:color="auto"/>
            </w:tcBorders>
            <w:shd w:val="clear" w:color="auto" w:fill="E3E3E3"/>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585.6</w:t>
            </w:r>
          </w:p>
        </w:tc>
        <w:tc>
          <w:tcPr>
            <w:tcW w:w="80" w:type="dxa"/>
            <w:vAlign w:val="bottom"/>
            <w:tcBorders>
              <w:top w:val="single" w:sz="8" w:color="E3E3E3"/>
            </w:tcBorders>
            <w:shd w:val="clear" w:color="auto" w:fill="E3E3E3"/>
          </w:tcPr>
          <w:p>
            <w:pPr>
              <w:spacing w:after="0"/>
              <w:rPr>
                <w:sz w:val="21"/>
                <w:szCs w:val="21"/>
                <w:color w:val="auto"/>
              </w:rPr>
            </w:pPr>
          </w:p>
        </w:tc>
        <w:tc>
          <w:tcPr>
            <w:tcW w:w="280" w:type="dxa"/>
            <w:vAlign w:val="bottom"/>
            <w:tcBorders>
              <w:top w:val="single" w:sz="8" w:color="auto"/>
            </w:tcBorders>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2,400.8</w:t>
            </w:r>
          </w:p>
        </w:tc>
      </w:tr>
      <w:tr>
        <w:trPr>
          <w:trHeight w:val="235"/>
        </w:trPr>
        <w:tc>
          <w:tcPr>
            <w:tcW w:w="2580" w:type="dxa"/>
            <w:vAlign w:val="bottom"/>
          </w:tcPr>
          <w:p>
            <w:pPr>
              <w:ind w:left="20"/>
              <w:spacing w:after="0"/>
              <w:rPr>
                <w:sz w:val="20"/>
                <w:szCs w:val="20"/>
                <w:color w:val="auto"/>
              </w:rPr>
            </w:pPr>
            <w:r>
              <w:rPr>
                <w:rFonts w:ascii="Arial" w:cs="Arial" w:eastAsia="Arial" w:hAnsi="Arial"/>
                <w:sz w:val="16"/>
                <w:szCs w:val="16"/>
                <w:color w:val="auto"/>
              </w:rPr>
              <w:t>Manufacturing</w:t>
            </w:r>
          </w:p>
        </w:tc>
        <w:tc>
          <w:tcPr>
            <w:tcW w:w="34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210.6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40.0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44"/>
        </w:trPr>
        <w:tc>
          <w:tcPr>
            <w:tcW w:w="258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E3E3E3"/>
          </w:tcPr>
          <w:p>
            <w:pPr>
              <w:spacing w:after="0"/>
              <w:rPr>
                <w:sz w:val="21"/>
                <w:szCs w:val="21"/>
                <w:color w:val="auto"/>
              </w:rPr>
            </w:pPr>
          </w:p>
        </w:tc>
        <w:tc>
          <w:tcPr>
            <w:tcW w:w="8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48.5</w:t>
            </w:r>
          </w:p>
        </w:tc>
        <w:tc>
          <w:tcPr>
            <w:tcW w:w="80" w:type="dxa"/>
            <w:vAlign w:val="bottom"/>
            <w:shd w:val="clear" w:color="auto" w:fill="E3E3E3"/>
          </w:tcPr>
          <w:p>
            <w:pPr>
              <w:spacing w:after="0"/>
              <w:rPr>
                <w:sz w:val="21"/>
                <w:szCs w:val="21"/>
                <w:color w:val="auto"/>
              </w:rPr>
            </w:pPr>
          </w:p>
        </w:tc>
        <w:tc>
          <w:tcPr>
            <w:tcW w:w="440" w:type="dxa"/>
            <w:vAlign w:val="bottom"/>
            <w:shd w:val="clear" w:color="auto" w:fill="E3E3E3"/>
          </w:tcPr>
          <w:p>
            <w:pPr>
              <w:spacing w:after="0"/>
              <w:rPr>
                <w:sz w:val="21"/>
                <w:szCs w:val="21"/>
                <w:color w:val="auto"/>
              </w:rPr>
            </w:pPr>
          </w:p>
        </w:tc>
        <w:tc>
          <w:tcPr>
            <w:tcW w:w="820" w:type="dxa"/>
            <w:vAlign w:val="bottom"/>
            <w:gridSpan w:val="2"/>
            <w:shd w:val="clear" w:color="auto" w:fill="E3E3E3"/>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3E3E3"/>
          </w:tcPr>
          <w:p>
            <w:pPr>
              <w:spacing w:after="0"/>
              <w:rPr>
                <w:sz w:val="21"/>
                <w:szCs w:val="21"/>
                <w:color w:val="auto"/>
              </w:rPr>
            </w:pPr>
          </w:p>
        </w:tc>
        <w:tc>
          <w:tcPr>
            <w:tcW w:w="9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15.6</w:t>
            </w:r>
          </w:p>
        </w:tc>
        <w:tc>
          <w:tcPr>
            <w:tcW w:w="8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98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13.2</w:t>
            </w:r>
          </w:p>
        </w:tc>
        <w:tc>
          <w:tcPr>
            <w:tcW w:w="8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7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7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E3E3E3"/>
          </w:tcPr>
          <w:p>
            <w:pPr>
              <w:spacing w:after="0"/>
              <w:rPr>
                <w:sz w:val="21"/>
                <w:szCs w:val="21"/>
                <w:color w:val="auto"/>
              </w:rPr>
            </w:pPr>
          </w:p>
        </w:tc>
        <w:tc>
          <w:tcPr>
            <w:tcW w:w="280" w:type="dxa"/>
            <w:vAlign w:val="bottom"/>
            <w:shd w:val="clear" w:color="auto" w:fill="E3E3E3"/>
          </w:tcPr>
          <w:p>
            <w:pPr>
              <w:spacing w:after="0"/>
              <w:rPr>
                <w:sz w:val="21"/>
                <w:szCs w:val="21"/>
                <w:color w:val="auto"/>
              </w:rPr>
            </w:pPr>
          </w:p>
        </w:tc>
        <w:tc>
          <w:tcPr>
            <w:tcW w:w="90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6.7</w:t>
            </w:r>
          </w:p>
        </w:tc>
      </w:tr>
      <w:tr>
        <w:trPr>
          <w:trHeight w:val="243"/>
        </w:trPr>
        <w:tc>
          <w:tcPr>
            <w:tcW w:w="2580" w:type="dxa"/>
            <w:vAlign w:val="bottom"/>
          </w:tcPr>
          <w:p>
            <w:pPr>
              <w:ind w:left="240"/>
              <w:spacing w:after="0"/>
              <w:rPr>
                <w:sz w:val="20"/>
                <w:szCs w:val="20"/>
                <w:color w:val="auto"/>
              </w:rPr>
            </w:pPr>
            <w:r>
              <w:rPr>
                <w:rFonts w:ascii="Arial" w:cs="Arial" w:eastAsia="Arial" w:hAnsi="Arial"/>
                <w:sz w:val="16"/>
                <w:szCs w:val="16"/>
                <w:color w:val="auto"/>
              </w:rPr>
              <w:t>Total purchase commitments</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4,597.5</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383.2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634.3</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524.4</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592.3</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2,407.5</w:t>
            </w:r>
          </w:p>
        </w:tc>
      </w:tr>
      <w:tr>
        <w:trPr>
          <w:trHeight w:val="20"/>
        </w:trPr>
        <w:tc>
          <w:tcPr>
            <w:tcW w:w="2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34"/>
        </w:trPr>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61"/>
              <w:spacing w:after="0"/>
              <w:rPr>
                <w:sz w:val="20"/>
                <w:szCs w:val="20"/>
                <w:color w:val="auto"/>
              </w:rPr>
            </w:pPr>
            <w:r>
              <w:rPr>
                <w:rFonts w:ascii="Arial" w:cs="Arial" w:eastAsia="Arial" w:hAnsi="Arial"/>
                <w:sz w:val="16"/>
                <w:szCs w:val="16"/>
                <w:color w:val="auto"/>
              </w:rPr>
              <w:t>- 17 -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5"/>
        </w:trPr>
        <w:tc>
          <w:tcPr>
            <w:tcW w:w="25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Additionally, we have a $146.7 million minimum purchase commitment with a cloud service provider through September 2027 with no specified annual commitments.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Guarantee</w:t>
      </w:r>
    </w:p>
    <w:p>
      <w:pPr>
        <w:spacing w:after="0" w:line="11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October 2023, we established a multi-currency notional cash pool for a certain number of our entities with a third-party bank. As part of the notional cash pool agreement, the bank extends overdraft credit to our participating entities as needed, provided that the overall notionally pooled balance of all accounts in the pool at the end of each day is positive. In the unlikely event of a default, any overdraft balances incurred would be guaranteed by our collective entities participating in the pool.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w:t>
      </w:r>
    </w:p>
    <w:p>
      <w:pPr>
        <w:spacing w:after="0" w:line="111"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We are subject to legal proceedings, claims, tax matters, and litigation arising in the ordinary course of business, including, for instance, intellectual property and patent litigation. We accrue for contingencies when we believe that a loss is probable and that we can reasonably estimate the amount of any such loss.</w:t>
      </w:r>
    </w:p>
    <w:p>
      <w:pPr>
        <w:spacing w:after="0" w:line="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Legal matters could include speculative, substantial, or indeterminate monetary amounts. Significant judgment is required to determine both the likelihood of there being a loss and the estimated amount of a loss related to such matters, and we may be unable to estimate the reasonably possible loss or range of loss. The outcomes of outstanding legal matters are inherently unpredictable, and could, either individually or in aggregate, have a material adverse effect on us and our results of operations. To the extent there is a reasonable possibility that a loss exceeding any amounts already recognized may be incurred, we will either disclose the estimated additional loss or state that such an estimate cannot be made.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matters arose in the ordinary course of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Centripetal Networks, Inc. v. Palo Alto Networks</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On March 12, 2021, Centripetal Networks, Inc., filed a lawsuit against us in the United States District Court for the Eastern District of Virginia. The lawsuit alleges that our products infringe multiple Centripetal patents. We successfully challenged certain of these patents, which were found unpatentable by the U.S. Patent and Trademark Office (“PTO”). The case went to jury trial on January 22, 2024, on four patents, with three stayed pending review in the PTO. On January 31, 2024, the jury returned a verdict of non-willful infringement with a lump sum amount of $151.5 million, plus statutory interest. We have filed motions to overturn the verdict and seek a new trial, which is pending before the court. In addition, Centripetal filed infringement contentions on certain of their patents in the European Patent Office in Germany, to which we filed invalidity challenges. Those matters are still pending.</w:t>
      </w:r>
    </w:p>
    <w:p>
      <w:pPr>
        <w:spacing w:after="0" w:line="6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of April 30, 2024, we accrued $180.5 million for the verdict amount and estimated interest, which is recorded in other long-term liabilities on our condensed consolidated balance sheets. The corresponding charge was $3.7 million and $180.5 million for the three and nine months ended April 30, 2024, respectively, which is included in general and administrative expense on our condensed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Finjan, Inc. v. Palo Alto Networks</w:t>
      </w:r>
    </w:p>
    <w:p>
      <w:pPr>
        <w:spacing w:after="0" w:line="12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November 4, 2014, Finjan, Inc., filed a lawsuit against us in the United States District Court for the Northern District of California. The lawsuit alleges that our products infringe multiple Finjan patents. The complaint requests injunctive relief, monetary damages, and attorneys fees. On March 11, 2024, the case was reassigned to a new judge and the October 21, 2024 trial date was vacated. A new trial date has not yet been set. We are unable, at this time, to reasonably estimate a possible loss or potential range of loss, if any.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Taasera v. Palo Alto Networks</w:t>
      </w:r>
    </w:p>
    <w:p>
      <w:pPr>
        <w:spacing w:after="0" w:line="125"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On March 22, 2022, we filed a declaratory judgment action in the United States District Court for the Southern District of New York seeking a ruling that we are not infringing various Taasera patents. The parties have resolved all pending matters between them as of December 2023. The amounts paid by us to resolve these matters were not material.</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Lionra Technologies v. Palo Alto Networks</w:t>
      </w:r>
    </w:p>
    <w:p>
      <w:pPr>
        <w:spacing w:after="0" w:line="11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August 29, 2022, Lionra Technologies filed a lawsuit against us in the United States District Court for the Eastern District of Texas. The lawsuit alleges that our products infringe multiple Lionra patents. The complaint requests injunctive relief, monetary damages and attorneys fees. The patents at issue are currently under review by the U.S. Patent and Trademark Office. The May 20, 2024 trial date was vacated. A new trial date has not yet been set, but may be rescheduled to take place in the fourth quarter of fiscal 2024. We are unable, at this time, to reasonably estimate a possible loss or potential range of loss, if any.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Stockholders’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2019, our board of directors authorized a $1.0 billion share repurchase program, which is funded from available working capital. In December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2020, August 2021, August 2022, and November 2023, our board of directors authorized additional $700.0 million, $676.1 million, $915.0 million,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$316.7 million increases to this share repurchase program, respectively, bringing the total authorization under this share repurchase program to $3.6 billion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(our “current authorization”). The expiration date of our current authorization was extended to December 31, 2024, and our repurchase program may be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suspended or discontinued at any time. Repurchases may be made at management’s discretion from time to time on the open market, through privately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negotiated transactions, transactions structured through investment banking institutions, block purchase techniques, 10b5-1 trading plans, or a combination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 the foregoing.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share repurchase activity under our share repurchase program (in millions,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 April 30,</w:t>
            </w:r>
          </w:p>
        </w:tc>
      </w:tr>
      <w:tr>
        <w:trPr>
          <w:trHeight w:val="223"/>
        </w:trPr>
        <w:tc>
          <w:tcPr>
            <w:tcW w:w="5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5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Number of shares repurchased</w:t>
            </w:r>
          </w:p>
        </w:tc>
        <w:tc>
          <w:tcPr>
            <w:tcW w:w="30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520" w:type="dxa"/>
            <w:vAlign w:val="bottom"/>
            <w:gridSpan w:val="2"/>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2.0</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1.8</w:t>
            </w:r>
          </w:p>
        </w:tc>
      </w:tr>
      <w:tr>
        <w:trPr>
          <w:trHeight w:val="243"/>
        </w:trPr>
        <w:tc>
          <w:tcPr>
            <w:tcW w:w="5080" w:type="dxa"/>
            <w:vAlign w:val="bottom"/>
          </w:tcPr>
          <w:p>
            <w:pPr>
              <w:ind w:left="20"/>
              <w:spacing w:after="0"/>
              <w:rPr>
                <w:sz w:val="20"/>
                <w:szCs w:val="20"/>
                <w:color w:val="auto"/>
              </w:rPr>
            </w:pPr>
            <w:r>
              <w:rPr>
                <w:rFonts w:ascii="Arial" w:cs="Arial" w:eastAsia="Arial" w:hAnsi="Arial"/>
                <w:sz w:val="16"/>
                <w:szCs w:val="16"/>
                <w:color w:val="auto"/>
              </w:rPr>
              <w:t>Weighted average price per share</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293.91</w:t>
            </w:r>
          </w:p>
        </w:tc>
        <w:tc>
          <w:tcPr>
            <w:tcW w:w="100" w:type="dxa"/>
            <w:vAlign w:val="bottom"/>
          </w:tcPr>
          <w:p>
            <w:pPr>
              <w:spacing w:after="0"/>
              <w:rPr>
                <w:sz w:val="21"/>
                <w:szCs w:val="21"/>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284.00</w:t>
            </w:r>
          </w:p>
        </w:tc>
        <w:tc>
          <w:tcPr>
            <w:tcW w:w="10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138.65</w:t>
            </w:r>
          </w:p>
        </w:tc>
      </w:tr>
      <w:tr>
        <w:trPr>
          <w:trHeight w:val="243"/>
        </w:trPr>
        <w:tc>
          <w:tcPr>
            <w:tcW w:w="5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Aggregate purchase price</w:t>
            </w:r>
            <w:r>
              <w:rPr>
                <w:rFonts w:ascii="Arial" w:cs="Arial" w:eastAsia="Arial" w:hAnsi="Arial"/>
                <w:sz w:val="21"/>
                <w:szCs w:val="21"/>
                <w:color w:val="auto"/>
                <w:vertAlign w:val="superscript"/>
              </w:rPr>
              <w:t>(1)</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566.7</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250.0</w:t>
            </w:r>
          </w:p>
        </w:tc>
      </w:tr>
    </w:tbl>
    <w:p>
      <w:pPr>
        <w:spacing w:after="0" w:line="165"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transaction costs</w:t>
      </w:r>
    </w:p>
    <w:p>
      <w:pPr>
        <w:spacing w:after="0" w:line="75"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In addition to the share repurchase activity summarized in the table above, during the nine months ended April 30, 2023, we paid $22.7 million related to share repurchases of our common stock that were not settled as of July 31, 2022.</w:t>
      </w:r>
    </w:p>
    <w:p>
      <w:pPr>
        <w:spacing w:after="0" w:line="3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of April 30, 2024, $500.0 million remained available for future share repurchases under our current repurchase authorization. The total price of the shares repurchased and related transaction costs are reflected as a reduction to common stock and additional paid-in capital on our condensed consolidated balance sheets.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Equity Award Plans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 (“RSU”) and Performance-Based Stock Unit (“PSU”) Activities</w:t>
      </w:r>
    </w:p>
    <w:p>
      <w:pPr>
        <w:spacing w:after="0" w:line="11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summarizes the RSU and PSU activity under our stock plans during the nine months ended April 30, 2024 (in millions, except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RSUs Outstanding</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PSUs Outstanding</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3"/>
        </w:trPr>
        <w:tc>
          <w:tcPr>
            <w:tcW w:w="4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62"/>
        </w:trPr>
        <w:tc>
          <w:tcPr>
            <w:tcW w:w="4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Average Grant-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Average Grant-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40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Aggregate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5"/>
                <w:szCs w:val="15"/>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r>
      <w:tr>
        <w:trPr>
          <w:trHeight w:val="205"/>
        </w:trPr>
        <w:tc>
          <w:tcPr>
            <w:tcW w:w="4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E3E3E3"/>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E3E3E3"/>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Borders>
              <w:bottom w:val="single" w:sz="8" w:color="E3E3E3"/>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E3E3E3"/>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E3E3E3"/>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Intrinsic Value</w:t>
            </w:r>
          </w:p>
        </w:tc>
      </w:tr>
      <w:tr>
        <w:trPr>
          <w:trHeight w:val="243"/>
        </w:trPr>
        <w:tc>
          <w:tcPr>
            <w:tcW w:w="404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Balance—July 31, 2023</w:t>
            </w:r>
          </w:p>
        </w:tc>
        <w:tc>
          <w:tcPr>
            <w:tcW w:w="110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12.1</w:t>
            </w:r>
          </w:p>
        </w:tc>
        <w:tc>
          <w:tcPr>
            <w:tcW w:w="360" w:type="dxa"/>
            <w:vAlign w:val="bottom"/>
            <w:gridSpan w:val="2"/>
            <w:shd w:val="clear" w:color="auto" w:fill="E3E3E3"/>
          </w:tcPr>
          <w:p>
            <w:pPr>
              <w:jc w:val="right"/>
              <w:ind w:right="68"/>
              <w:spacing w:after="0"/>
              <w:rPr>
                <w:sz w:val="20"/>
                <w:szCs w:val="20"/>
                <w:color w:val="auto"/>
              </w:rPr>
            </w:pPr>
            <w:r>
              <w:rPr>
                <w:rFonts w:ascii="Arial" w:cs="Arial" w:eastAsia="Arial" w:hAnsi="Arial"/>
                <w:sz w:val="16"/>
                <w:szCs w:val="16"/>
                <w:color w:val="auto"/>
              </w:rPr>
              <w:t>$</w:t>
            </w:r>
          </w:p>
        </w:tc>
        <w:tc>
          <w:tcPr>
            <w:tcW w:w="8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142.61</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3,013.0</w:t>
            </w:r>
          </w:p>
        </w:tc>
        <w:tc>
          <w:tcPr>
            <w:tcW w:w="100" w:type="dxa"/>
            <w:vAlign w:val="bottom"/>
            <w:shd w:val="clear" w:color="auto" w:fill="E3E3E3"/>
          </w:tcPr>
          <w:p>
            <w:pPr>
              <w:spacing w:after="0"/>
              <w:rPr>
                <w:sz w:val="21"/>
                <w:szCs w:val="21"/>
                <w:color w:val="auto"/>
              </w:rPr>
            </w:pPr>
          </w:p>
        </w:tc>
        <w:tc>
          <w:tcPr>
            <w:tcW w:w="1100" w:type="dxa"/>
            <w:vAlign w:val="bottom"/>
            <w:shd w:val="clear" w:color="auto" w:fill="E3E3E3"/>
          </w:tcPr>
          <w:p>
            <w:pPr>
              <w:jc w:val="center"/>
              <w:ind w:left="662"/>
              <w:spacing w:after="0"/>
              <w:rPr>
                <w:sz w:val="20"/>
                <w:szCs w:val="20"/>
                <w:color w:val="auto"/>
              </w:rPr>
            </w:pPr>
            <w:r>
              <w:rPr>
                <w:rFonts w:ascii="Arial" w:cs="Arial" w:eastAsia="Arial" w:hAnsi="Arial"/>
                <w:sz w:val="16"/>
                <w:szCs w:val="16"/>
                <w:color w:val="auto"/>
              </w:rPr>
              <w:t>5.0</w:t>
            </w:r>
          </w:p>
        </w:tc>
        <w:tc>
          <w:tcPr>
            <w:tcW w:w="380" w:type="dxa"/>
            <w:vAlign w:val="bottom"/>
            <w:gridSpan w:val="2"/>
            <w:shd w:val="clear" w:color="auto" w:fill="E3E3E3"/>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128.64</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1,242.3</w:t>
            </w:r>
          </w:p>
        </w:tc>
      </w:tr>
      <w:tr>
        <w:trPr>
          <w:trHeight w:val="243"/>
        </w:trPr>
        <w:tc>
          <w:tcPr>
            <w:tcW w:w="4040" w:type="dxa"/>
            <w:vAlign w:val="bottom"/>
          </w:tcPr>
          <w:p>
            <w:pPr>
              <w:ind w:left="24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(1)</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36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271.65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ind w:left="662"/>
              <w:spacing w:after="0"/>
              <w:rPr>
                <w:sz w:val="20"/>
                <w:szCs w:val="20"/>
                <w:color w:val="auto"/>
              </w:rPr>
            </w:pPr>
            <w:r>
              <w:rPr>
                <w:rFonts w:ascii="Arial" w:cs="Arial" w:eastAsia="Arial" w:hAnsi="Arial"/>
                <w:sz w:val="16"/>
                <w:szCs w:val="16"/>
                <w:color w:val="auto"/>
              </w:rPr>
              <w:t>2.2</w:t>
            </w:r>
          </w:p>
        </w:tc>
        <w:tc>
          <w:tcPr>
            <w:tcW w:w="38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182.79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4040" w:type="dxa"/>
            <w:vAlign w:val="bottom"/>
            <w:shd w:val="clear" w:color="auto" w:fill="E3E3E3"/>
          </w:tcPr>
          <w:p>
            <w:pPr>
              <w:ind w:left="240"/>
              <w:spacing w:after="0"/>
              <w:rPr>
                <w:sz w:val="20"/>
                <w:szCs w:val="20"/>
                <w:color w:val="auto"/>
              </w:rPr>
            </w:pPr>
            <w:r>
              <w:rPr>
                <w:rFonts w:ascii="Arial" w:cs="Arial" w:eastAsia="Arial" w:hAnsi="Arial"/>
                <w:sz w:val="16"/>
                <w:szCs w:val="16"/>
                <w:color w:val="auto"/>
              </w:rPr>
              <w:t>Vested</w:t>
            </w: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(4.6)</w:t>
            </w:r>
          </w:p>
        </w:tc>
        <w:tc>
          <w:tcPr>
            <w:tcW w:w="360" w:type="dxa"/>
            <w:vAlign w:val="bottom"/>
            <w:gridSpan w:val="2"/>
            <w:shd w:val="clear" w:color="auto" w:fill="E3E3E3"/>
          </w:tcPr>
          <w:p>
            <w:pPr>
              <w:jc w:val="right"/>
              <w:ind w:right="68"/>
              <w:spacing w:after="0"/>
              <w:rPr>
                <w:sz w:val="20"/>
                <w:szCs w:val="20"/>
                <w:color w:val="auto"/>
              </w:rPr>
            </w:pPr>
            <w:r>
              <w:rPr>
                <w:rFonts w:ascii="Arial" w:cs="Arial" w:eastAsia="Arial" w:hAnsi="Arial"/>
                <w:sz w:val="16"/>
                <w:szCs w:val="16"/>
                <w:color w:val="auto"/>
              </w:rPr>
              <w:t>$</w:t>
            </w:r>
          </w:p>
        </w:tc>
        <w:tc>
          <w:tcPr>
            <w:tcW w:w="8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131.05</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100" w:type="dxa"/>
            <w:vAlign w:val="bottom"/>
            <w:shd w:val="clear" w:color="auto" w:fill="E3E3E3"/>
          </w:tcPr>
          <w:p>
            <w:pPr>
              <w:jc w:val="center"/>
              <w:ind w:left="642"/>
              <w:spacing w:after="0"/>
              <w:rPr>
                <w:sz w:val="20"/>
                <w:szCs w:val="20"/>
                <w:color w:val="auto"/>
              </w:rPr>
            </w:pPr>
            <w:r>
              <w:rPr>
                <w:rFonts w:ascii="Arial" w:cs="Arial" w:eastAsia="Arial" w:hAnsi="Arial"/>
                <w:sz w:val="16"/>
                <w:szCs w:val="16"/>
                <w:color w:val="auto"/>
              </w:rPr>
              <w:t>(1.5)</w:t>
            </w:r>
          </w:p>
        </w:tc>
        <w:tc>
          <w:tcPr>
            <w:tcW w:w="380" w:type="dxa"/>
            <w:vAlign w:val="bottom"/>
            <w:gridSpan w:val="2"/>
            <w:shd w:val="clear" w:color="auto" w:fill="E3E3E3"/>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116.51</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r>
      <w:tr>
        <w:trPr>
          <w:trHeight w:val="237"/>
        </w:trPr>
        <w:tc>
          <w:tcPr>
            <w:tcW w:w="404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E3E3E3"/>
            </w:tcBorders>
            <w:gridSpan w:val="2"/>
          </w:tcPr>
          <w:p>
            <w:pPr>
              <w:jc w:val="right"/>
              <w:ind w:right="6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3E3E3"/>
            </w:tcBorders>
          </w:tcPr>
          <w:p>
            <w:pPr>
              <w:jc w:val="right"/>
              <w:ind w:right="2"/>
              <w:spacing w:after="0"/>
              <w:rPr>
                <w:sz w:val="20"/>
                <w:szCs w:val="20"/>
                <w:color w:val="auto"/>
              </w:rPr>
            </w:pPr>
            <w:r>
              <w:rPr>
                <w:rFonts w:ascii="Arial" w:cs="Arial" w:eastAsia="Arial" w:hAnsi="Arial"/>
                <w:sz w:val="16"/>
                <w:szCs w:val="16"/>
                <w:color w:val="auto"/>
              </w:rPr>
              <w:t>161.26</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0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10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E3E3E3"/>
            </w:tcBorders>
            <w:gridSpan w:val="2"/>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3E3E3"/>
            </w:tcBorders>
          </w:tcPr>
          <w:p>
            <w:pPr>
              <w:jc w:val="right"/>
              <w:ind w:right="2"/>
              <w:spacing w:after="0"/>
              <w:rPr>
                <w:sz w:val="20"/>
                <w:szCs w:val="20"/>
                <w:color w:val="auto"/>
              </w:rPr>
            </w:pPr>
            <w:r>
              <w:rPr>
                <w:rFonts w:ascii="Arial" w:cs="Arial" w:eastAsia="Arial" w:hAnsi="Arial"/>
                <w:sz w:val="16"/>
                <w:szCs w:val="16"/>
                <w:color w:val="auto"/>
              </w:rPr>
              <w:t>135.54</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00" w:type="dxa"/>
            <w:vAlign w:val="bottom"/>
            <w:tcBorders>
              <w:bottom w:val="single" w:sz="8" w:color="E3E3E3"/>
            </w:tcBorders>
          </w:tcPr>
          <w:p>
            <w:pPr>
              <w:spacing w:after="0"/>
              <w:rPr>
                <w:sz w:val="20"/>
                <w:szCs w:val="20"/>
                <w:color w:val="auto"/>
              </w:rPr>
            </w:pPr>
          </w:p>
        </w:tc>
      </w:tr>
      <w:tr>
        <w:trPr>
          <w:trHeight w:val="268"/>
        </w:trPr>
        <w:tc>
          <w:tcPr>
            <w:tcW w:w="404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Balance—April 30, 2024</w:t>
            </w:r>
          </w:p>
        </w:tc>
        <w:tc>
          <w:tcPr>
            <w:tcW w:w="110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10.3</w:t>
            </w:r>
          </w:p>
        </w:tc>
        <w:tc>
          <w:tcPr>
            <w:tcW w:w="360" w:type="dxa"/>
            <w:vAlign w:val="bottom"/>
            <w:tcBorders>
              <w:bottom w:val="single" w:sz="8" w:color="E3E3E3"/>
            </w:tcBorders>
            <w:gridSpan w:val="2"/>
            <w:shd w:val="clear" w:color="auto" w:fill="E3E3E3"/>
          </w:tcPr>
          <w:p>
            <w:pPr>
              <w:jc w:val="right"/>
              <w:ind w:right="6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3E3E3"/>
            </w:tcBorders>
            <w:shd w:val="clear" w:color="auto" w:fill="E3E3E3"/>
          </w:tcPr>
          <w:p>
            <w:pPr>
              <w:jc w:val="right"/>
              <w:ind w:right="2"/>
              <w:spacing w:after="0"/>
              <w:rPr>
                <w:sz w:val="20"/>
                <w:szCs w:val="20"/>
                <w:color w:val="auto"/>
              </w:rPr>
            </w:pPr>
            <w:r>
              <w:rPr>
                <w:rFonts w:ascii="Arial" w:cs="Arial" w:eastAsia="Arial" w:hAnsi="Arial"/>
                <w:sz w:val="16"/>
                <w:szCs w:val="16"/>
                <w:color w:val="auto"/>
              </w:rPr>
              <w:t>194.03</w:t>
            </w:r>
          </w:p>
        </w:tc>
        <w:tc>
          <w:tcPr>
            <w:tcW w:w="10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3E3E3"/>
            </w:tcBorders>
            <w:shd w:val="clear" w:color="auto" w:fill="E3E3E3"/>
          </w:tcPr>
          <w:p>
            <w:pPr>
              <w:jc w:val="right"/>
              <w:ind w:right="4"/>
              <w:spacing w:after="0"/>
              <w:rPr>
                <w:sz w:val="20"/>
                <w:szCs w:val="20"/>
                <w:color w:val="auto"/>
              </w:rPr>
            </w:pPr>
            <w:r>
              <w:rPr>
                <w:rFonts w:ascii="Arial" w:cs="Arial" w:eastAsia="Arial" w:hAnsi="Arial"/>
                <w:sz w:val="16"/>
                <w:szCs w:val="16"/>
                <w:color w:val="auto"/>
              </w:rPr>
              <w:t>2,979.7</w:t>
            </w:r>
          </w:p>
        </w:tc>
        <w:tc>
          <w:tcPr>
            <w:tcW w:w="100" w:type="dxa"/>
            <w:vAlign w:val="bottom"/>
            <w:tcBorders>
              <w:bottom w:val="single" w:sz="8" w:color="E3E3E3"/>
            </w:tcBorders>
            <w:shd w:val="clear" w:color="auto" w:fill="E3E3E3"/>
          </w:tcPr>
          <w:p>
            <w:pPr>
              <w:spacing w:after="0"/>
              <w:rPr>
                <w:sz w:val="22"/>
                <w:szCs w:val="22"/>
                <w:color w:val="auto"/>
              </w:rPr>
            </w:pPr>
          </w:p>
        </w:tc>
        <w:tc>
          <w:tcPr>
            <w:tcW w:w="1100" w:type="dxa"/>
            <w:vAlign w:val="bottom"/>
            <w:tcBorders>
              <w:bottom w:val="single" w:sz="8" w:color="auto"/>
            </w:tcBorders>
            <w:shd w:val="clear" w:color="auto" w:fill="E3E3E3"/>
          </w:tcPr>
          <w:p>
            <w:pPr>
              <w:jc w:val="center"/>
              <w:ind w:left="662"/>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E3E3E3"/>
            </w:tcBorders>
            <w:gridSpan w:val="2"/>
            <w:shd w:val="clear" w:color="auto" w:fill="E3E3E3"/>
          </w:tcPr>
          <w:p>
            <w:pPr>
              <w:jc w:val="right"/>
              <w:ind w:right="88"/>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3E3E3"/>
            </w:tcBorders>
            <w:shd w:val="clear" w:color="auto" w:fill="E3E3E3"/>
          </w:tcPr>
          <w:p>
            <w:pPr>
              <w:jc w:val="right"/>
              <w:ind w:right="2"/>
              <w:spacing w:after="0"/>
              <w:rPr>
                <w:sz w:val="20"/>
                <w:szCs w:val="20"/>
                <w:color w:val="auto"/>
              </w:rPr>
            </w:pPr>
            <w:r>
              <w:rPr>
                <w:rFonts w:ascii="Arial" w:cs="Arial" w:eastAsia="Arial" w:hAnsi="Arial"/>
                <w:sz w:val="16"/>
                <w:szCs w:val="16"/>
                <w:color w:val="auto"/>
              </w:rPr>
              <w:t>154.42</w:t>
            </w:r>
          </w:p>
        </w:tc>
        <w:tc>
          <w:tcPr>
            <w:tcW w:w="10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3E3E3"/>
            </w:tcBorders>
            <w:shd w:val="clear" w:color="auto" w:fill="E3E3E3"/>
          </w:tcPr>
          <w:p>
            <w:pPr>
              <w:jc w:val="right"/>
              <w:ind w:right="4"/>
              <w:spacing w:after="0"/>
              <w:rPr>
                <w:sz w:val="20"/>
                <w:szCs w:val="20"/>
                <w:color w:val="auto"/>
              </w:rPr>
            </w:pPr>
            <w:r>
              <w:rPr>
                <w:rFonts w:ascii="Arial" w:cs="Arial" w:eastAsia="Arial" w:hAnsi="Arial"/>
                <w:sz w:val="16"/>
                <w:szCs w:val="16"/>
                <w:color w:val="auto"/>
              </w:rPr>
              <w:t>1,497.3</w:t>
            </w:r>
          </w:p>
        </w:tc>
      </w:tr>
      <w:tr>
        <w:trPr>
          <w:trHeight w:val="20"/>
        </w:trPr>
        <w:tc>
          <w:tcPr>
            <w:tcW w:w="4040" w:type="dxa"/>
            <w:vAlign w:val="bottom"/>
            <w:tcBorders>
              <w:top w:val="single" w:sz="8" w:color="E3E3E3"/>
            </w:tcBorders>
          </w:tcPr>
          <w:p>
            <w:pPr>
              <w:spacing w:after="0" w:line="20" w:lineRule="exact"/>
              <w:rPr>
                <w:sz w:val="1"/>
                <w:szCs w:val="1"/>
                <w:color w:val="auto"/>
              </w:rPr>
            </w:pPr>
          </w:p>
        </w:tc>
        <w:tc>
          <w:tcPr>
            <w:tcW w:w="110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60" w:type="dxa"/>
            <w:vAlign w:val="bottom"/>
            <w:tcBorders>
              <w:top w:val="single" w:sz="8" w:color="E3E3E3"/>
            </w:tcBorders>
          </w:tcPr>
          <w:p>
            <w:pPr>
              <w:spacing w:after="0" w:line="20" w:lineRule="exact"/>
              <w:rPr>
                <w:sz w:val="1"/>
                <w:szCs w:val="1"/>
                <w:color w:val="auto"/>
              </w:rPr>
            </w:pPr>
          </w:p>
        </w:tc>
        <w:tc>
          <w:tcPr>
            <w:tcW w:w="86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00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10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60" w:type="dxa"/>
            <w:vAlign w:val="bottom"/>
            <w:tcBorders>
              <w:top w:val="single" w:sz="8" w:color="E3E3E3"/>
            </w:tcBorders>
          </w:tcPr>
          <w:p>
            <w:pPr>
              <w:spacing w:after="0" w:line="20" w:lineRule="exact"/>
              <w:rPr>
                <w:sz w:val="1"/>
                <w:szCs w:val="1"/>
                <w:color w:val="auto"/>
              </w:rPr>
            </w:pPr>
          </w:p>
        </w:tc>
        <w:tc>
          <w:tcPr>
            <w:tcW w:w="86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000" w:type="dxa"/>
            <w:vAlign w:val="bottom"/>
            <w:tcBorders>
              <w:top w:val="single" w:sz="8" w:color="E3E3E3"/>
            </w:tcBorders>
          </w:tcPr>
          <w:p>
            <w:pPr>
              <w:spacing w:after="0" w:line="20" w:lineRule="exact"/>
              <w:rPr>
                <w:sz w:val="1"/>
                <w:szCs w:val="1"/>
                <w:color w:val="auto"/>
              </w:rPr>
            </w:pPr>
          </w:p>
        </w:tc>
      </w:tr>
    </w:tbl>
    <w:p>
      <w:pPr>
        <w:spacing w:after="0" w:line="165"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For PSUs, shares granted represent the aggregate maximum number of shares that may be earned and issued with respect to these awards over their full terms.</w:t>
      </w:r>
    </w:p>
    <w:p>
      <w:pPr>
        <w:spacing w:after="0" w:line="75"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Our RSUs generally vest over a period of three to four years from the date of grant. Until vested, RSUs do not have the voting and dividend participation rights of common stock and the shares underlying the awards are not considered issued and outstanding.</w:t>
      </w:r>
    </w:p>
    <w:p>
      <w:pPr>
        <w:spacing w:after="0" w:line="33"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Our PSUs generally vest over a period of one to four years from the date of grant. The number of PSUs eligible to vest is determined based on the level of achievement against certain performance conditions, market conditions, and a combination thereof.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During the nine months ended April 30, 2024, we granted 2.1 million shares of PSUs that contain service, performance, and market conditions. The service conditions are satisfied after a period of one to three years. The performance conditions are based on revenue growth or billing growth. The market condition is measured based on our total shareholder return (“TSR”) relative to the TSR of the companies listed in the Standard &amp; Poor’s 500 index. As of April 30, 2024, we have approved 2.7 million shares of PSUs, which will be granted upon the performance condition being established during the next two fiscal years.</w:t>
      </w:r>
    </w:p>
    <w:p>
      <w:pPr>
        <w:spacing w:after="0" w:line="261"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fair value of the PSUs subject to market conditions is estimated on the grant date using a Monte Carlo simulation model. The following table summarizes the assumptions used and the resulting grant-date fair value of our PSUs subject to market conditions granted during the nine months ended April 30,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5480" w:type="dxa"/>
            <w:vAlign w:val="bottom"/>
          </w:tcPr>
          <w:p>
            <w:pPr>
              <w:jc w:val="right"/>
              <w:spacing w:after="0"/>
              <w:rPr>
                <w:sz w:val="20"/>
                <w:szCs w:val="20"/>
                <w:color w:val="auto"/>
              </w:rPr>
            </w:pPr>
            <w:r>
              <w:rPr>
                <w:rFonts w:ascii="Arial" w:cs="Arial" w:eastAsia="Arial" w:hAnsi="Arial"/>
                <w:sz w:val="14"/>
                <w:szCs w:val="14"/>
                <w:b w:val="1"/>
                <w:bCs w:val="1"/>
                <w:color w:val="auto"/>
              </w:rPr>
              <w:t>Nine Months Ended April 30,</w:t>
            </w:r>
          </w:p>
        </w:tc>
      </w:tr>
      <w:tr>
        <w:trPr>
          <w:trHeight w:val="205"/>
        </w:trPr>
        <w:tc>
          <w:tcPr>
            <w:tcW w:w="576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r>
      <w:tr>
        <w:trPr>
          <w:trHeight w:val="243"/>
        </w:trPr>
        <w:tc>
          <w:tcPr>
            <w:tcW w:w="5760" w:type="dxa"/>
            <w:vAlign w:val="bottom"/>
            <w:shd w:val="clear" w:color="auto" w:fill="E3E3E3"/>
          </w:tcPr>
          <w:p>
            <w:pPr>
              <w:ind w:left="20"/>
              <w:spacing w:after="0"/>
              <w:rPr>
                <w:sz w:val="20"/>
                <w:szCs w:val="20"/>
                <w:color w:val="auto"/>
              </w:rPr>
            </w:pPr>
            <w:r>
              <w:rPr>
                <w:rFonts w:ascii="Arial" w:cs="Arial" w:eastAsia="Arial" w:hAnsi="Arial"/>
                <w:sz w:val="16"/>
                <w:szCs w:val="16"/>
                <w:color w:val="auto"/>
              </w:rPr>
              <w:t>Volatility</w:t>
            </w:r>
          </w:p>
        </w:tc>
        <w:tc>
          <w:tcPr>
            <w:tcW w:w="54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40.8% - 43.4%</w:t>
            </w:r>
          </w:p>
        </w:tc>
      </w:tr>
      <w:tr>
        <w:trPr>
          <w:trHeight w:val="235"/>
        </w:trPr>
        <w:tc>
          <w:tcPr>
            <w:tcW w:w="576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5480" w:type="dxa"/>
            <w:vAlign w:val="bottom"/>
          </w:tcPr>
          <w:p>
            <w:pPr>
              <w:jc w:val="right"/>
              <w:spacing w:after="0"/>
              <w:rPr>
                <w:sz w:val="20"/>
                <w:szCs w:val="20"/>
                <w:color w:val="auto"/>
              </w:rPr>
            </w:pPr>
            <w:r>
              <w:rPr>
                <w:rFonts w:ascii="Arial" w:cs="Arial" w:eastAsia="Arial" w:hAnsi="Arial"/>
                <w:sz w:val="16"/>
                <w:szCs w:val="16"/>
                <w:color w:val="auto"/>
              </w:rPr>
              <w:t>0.9 - 2.9</w:t>
            </w:r>
          </w:p>
        </w:tc>
      </w:tr>
      <w:tr>
        <w:trPr>
          <w:trHeight w:val="251"/>
        </w:trPr>
        <w:tc>
          <w:tcPr>
            <w:tcW w:w="5760" w:type="dxa"/>
            <w:vAlign w:val="bottom"/>
            <w:shd w:val="clear" w:color="auto" w:fill="E3E3E3"/>
          </w:tcPr>
          <w:p>
            <w:pPr>
              <w:ind w:left="20"/>
              <w:spacing w:after="0"/>
              <w:rPr>
                <w:sz w:val="20"/>
                <w:szCs w:val="20"/>
                <w:color w:val="auto"/>
              </w:rPr>
            </w:pPr>
            <w:r>
              <w:rPr>
                <w:rFonts w:ascii="Arial" w:cs="Arial" w:eastAsia="Arial" w:hAnsi="Arial"/>
                <w:sz w:val="16"/>
                <w:szCs w:val="16"/>
                <w:color w:val="auto"/>
              </w:rPr>
              <w:t>Dividend yield</w:t>
            </w:r>
          </w:p>
        </w:tc>
        <w:tc>
          <w:tcPr>
            <w:tcW w:w="54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0.0 %</w:t>
            </w:r>
          </w:p>
        </w:tc>
      </w:tr>
      <w:tr>
        <w:trPr>
          <w:trHeight w:val="235"/>
        </w:trPr>
        <w:tc>
          <w:tcPr>
            <w:tcW w:w="57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5480" w:type="dxa"/>
            <w:vAlign w:val="bottom"/>
          </w:tcPr>
          <w:p>
            <w:pPr>
              <w:jc w:val="right"/>
              <w:spacing w:after="0"/>
              <w:rPr>
                <w:sz w:val="20"/>
                <w:szCs w:val="20"/>
                <w:color w:val="auto"/>
              </w:rPr>
            </w:pPr>
            <w:r>
              <w:rPr>
                <w:rFonts w:ascii="Arial" w:cs="Arial" w:eastAsia="Arial" w:hAnsi="Arial"/>
                <w:sz w:val="16"/>
                <w:szCs w:val="16"/>
                <w:color w:val="auto"/>
              </w:rPr>
              <w:t>4.4% - 5.3%</w:t>
            </w:r>
          </w:p>
        </w:tc>
      </w:tr>
      <w:tr>
        <w:trPr>
          <w:trHeight w:val="251"/>
        </w:trPr>
        <w:tc>
          <w:tcPr>
            <w:tcW w:w="5760" w:type="dxa"/>
            <w:vAlign w:val="bottom"/>
            <w:shd w:val="clear" w:color="auto" w:fill="E3E3E3"/>
          </w:tcPr>
          <w:p>
            <w:pPr>
              <w:ind w:left="20"/>
              <w:spacing w:after="0"/>
              <w:rPr>
                <w:sz w:val="20"/>
                <w:szCs w:val="20"/>
                <w:color w:val="auto"/>
              </w:rPr>
            </w:pPr>
            <w:r>
              <w:rPr>
                <w:rFonts w:ascii="Arial" w:cs="Arial" w:eastAsia="Arial" w:hAnsi="Arial"/>
                <w:sz w:val="16"/>
                <w:szCs w:val="16"/>
                <w:color w:val="auto"/>
              </w:rPr>
              <w:t>Grant-date fair value per share</w:t>
            </w:r>
          </w:p>
        </w:tc>
        <w:tc>
          <w:tcPr>
            <w:tcW w:w="54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$346.92 - $621.21</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Option (“PSO”) Activities</w:t>
      </w:r>
    </w:p>
    <w:p>
      <w:pPr>
        <w:spacing w:after="0" w:line="111"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have granted PSOs with both service and market conditions. The market conditions were achieved when certain stock price targets were met. As of April 30, 2024, all of our outstanding PSOs have been fully vested. The maximum contractual term of our outstanding PSOs is seven and a half years from the date of grant in fiscal year 2018 and 2019.</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PSO activity under our stock plans during the nine months ended April 30, 2024 (in millions,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Weighted-Average</w:t>
            </w:r>
          </w:p>
        </w:tc>
        <w:tc>
          <w:tcPr>
            <w:tcW w:w="1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Weighted-Average</w:t>
            </w:r>
          </w:p>
        </w:tc>
        <w:tc>
          <w:tcPr>
            <w:tcW w:w="1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Borders>
              <w:bottom w:val="single" w:sz="8" w:color="E3E3E3"/>
            </w:tcBorders>
          </w:tcPr>
          <w:p>
            <w:pPr>
              <w:spacing w:after="0"/>
              <w:rPr>
                <w:sz w:val="17"/>
                <w:szCs w:val="17"/>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Exercise Price Per Share</w:t>
            </w:r>
          </w:p>
        </w:tc>
        <w:tc>
          <w:tcPr>
            <w:tcW w:w="80" w:type="dxa"/>
            <w:vAlign w:val="bottom"/>
            <w:tcBorders>
              <w:bottom w:val="single" w:sz="8" w:color="E3E3E3"/>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 (Years)</w:t>
            </w:r>
          </w:p>
        </w:tc>
        <w:tc>
          <w:tcPr>
            <w:tcW w:w="80" w:type="dxa"/>
            <w:vAlign w:val="bottom"/>
            <w:tcBorders>
              <w:bottom w:val="single" w:sz="8" w:color="E3E3E3"/>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3"/>
        </w:trPr>
        <w:tc>
          <w:tcPr>
            <w:tcW w:w="454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Balance—July 31, 2023</w:t>
            </w:r>
          </w:p>
        </w:tc>
        <w:tc>
          <w:tcPr>
            <w:tcW w:w="1460" w:type="dxa"/>
            <w:vAlign w:val="bottom"/>
            <w:shd w:val="clear" w:color="auto" w:fill="E3E3E3"/>
          </w:tcPr>
          <w:p>
            <w:pPr>
              <w:jc w:val="center"/>
              <w:ind w:left="1021"/>
              <w:spacing w:after="0"/>
              <w:rPr>
                <w:sz w:val="20"/>
                <w:szCs w:val="20"/>
                <w:color w:val="auto"/>
              </w:rPr>
            </w:pPr>
            <w:r>
              <w:rPr>
                <w:rFonts w:ascii="Arial" w:cs="Arial" w:eastAsia="Arial" w:hAnsi="Arial"/>
                <w:sz w:val="16"/>
                <w:szCs w:val="16"/>
                <w:color w:val="auto"/>
              </w:rPr>
              <w:t>6.4</w:t>
            </w:r>
          </w:p>
        </w:tc>
        <w:tc>
          <w:tcPr>
            <w:tcW w:w="380" w:type="dxa"/>
            <w:vAlign w:val="bottom"/>
            <w:gridSpan w:val="2"/>
            <w:shd w:val="clear" w:color="auto" w:fill="E3E3E3"/>
          </w:tcPr>
          <w:p>
            <w:pPr>
              <w:jc w:val="right"/>
              <w:ind w:right="108"/>
              <w:spacing w:after="0"/>
              <w:rPr>
                <w:sz w:val="20"/>
                <w:szCs w:val="20"/>
                <w:color w:val="auto"/>
              </w:rPr>
            </w:pPr>
            <w:r>
              <w:rPr>
                <w:rFonts w:ascii="Arial" w:cs="Arial" w:eastAsia="Arial" w:hAnsi="Arial"/>
                <w:sz w:val="16"/>
                <w:szCs w:val="16"/>
                <w:color w:val="auto"/>
              </w:rPr>
              <w:t>$</w:t>
            </w:r>
          </w:p>
        </w:tc>
        <w:tc>
          <w:tcPr>
            <w:tcW w:w="14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65.20</w:t>
            </w:r>
          </w:p>
        </w:tc>
        <w:tc>
          <w:tcPr>
            <w:tcW w:w="80" w:type="dxa"/>
            <w:vAlign w:val="bottom"/>
            <w:shd w:val="clear" w:color="auto" w:fill="E3E3E3"/>
          </w:tcPr>
          <w:p>
            <w:pPr>
              <w:spacing w:after="0"/>
              <w:rPr>
                <w:sz w:val="21"/>
                <w:szCs w:val="21"/>
                <w:color w:val="auto"/>
              </w:rPr>
            </w:pPr>
          </w:p>
        </w:tc>
        <w:tc>
          <w:tcPr>
            <w:tcW w:w="17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E3E3E3"/>
          </w:tcPr>
          <w:p>
            <w:pPr>
              <w:spacing w:after="0"/>
              <w:rPr>
                <w:sz w:val="21"/>
                <w:szCs w:val="21"/>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1,184.6</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Exercised</w:t>
            </w:r>
          </w:p>
        </w:tc>
        <w:tc>
          <w:tcPr>
            <w:tcW w:w="1460" w:type="dxa"/>
            <w:vAlign w:val="bottom"/>
            <w:tcBorders>
              <w:bottom w:val="single" w:sz="8" w:color="auto"/>
            </w:tcBorders>
          </w:tcPr>
          <w:p>
            <w:pPr>
              <w:jc w:val="center"/>
              <w:ind w:left="1001"/>
              <w:spacing w:after="0"/>
              <w:rPr>
                <w:sz w:val="20"/>
                <w:szCs w:val="20"/>
                <w:color w:val="auto"/>
              </w:rPr>
            </w:pPr>
            <w:r>
              <w:rPr>
                <w:rFonts w:ascii="Arial" w:cs="Arial" w:eastAsia="Arial" w:hAnsi="Arial"/>
                <w:sz w:val="16"/>
                <w:szCs w:val="16"/>
                <w:color w:val="auto"/>
              </w:rPr>
              <w:t>(1.2)</w:t>
            </w:r>
          </w:p>
        </w:tc>
        <w:tc>
          <w:tcPr>
            <w:tcW w:w="380" w:type="dxa"/>
            <w:vAlign w:val="bottom"/>
            <w:tcBorders>
              <w:bottom w:val="single" w:sz="8" w:color="E3E3E3"/>
            </w:tcBorders>
            <w:gridSpan w:val="2"/>
          </w:tcPr>
          <w:p>
            <w:pPr>
              <w:jc w:val="right"/>
              <w:ind w:right="108"/>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3E3E3"/>
            </w:tcBorders>
          </w:tcPr>
          <w:p>
            <w:pPr>
              <w:jc w:val="right"/>
              <w:ind w:right="1"/>
              <w:spacing w:after="0"/>
              <w:rPr>
                <w:sz w:val="20"/>
                <w:szCs w:val="20"/>
                <w:color w:val="auto"/>
              </w:rPr>
            </w:pPr>
            <w:r>
              <w:rPr>
                <w:rFonts w:ascii="Arial" w:cs="Arial" w:eastAsia="Arial" w:hAnsi="Arial"/>
                <w:sz w:val="16"/>
                <w:szCs w:val="16"/>
                <w:color w:val="auto"/>
              </w:rPr>
              <w:t>64.85</w:t>
            </w:r>
          </w:p>
        </w:tc>
        <w:tc>
          <w:tcPr>
            <w:tcW w:w="80" w:type="dxa"/>
            <w:vAlign w:val="bottom"/>
            <w:tcBorders>
              <w:bottom w:val="single" w:sz="8" w:color="E3E3E3"/>
            </w:tcBorders>
          </w:tcPr>
          <w:p>
            <w:pPr>
              <w:spacing w:after="0"/>
              <w:rPr>
                <w:sz w:val="20"/>
                <w:szCs w:val="20"/>
                <w:color w:val="auto"/>
              </w:rPr>
            </w:pPr>
          </w:p>
        </w:tc>
        <w:tc>
          <w:tcPr>
            <w:tcW w:w="174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140" w:type="dxa"/>
            <w:vAlign w:val="bottom"/>
            <w:tcBorders>
              <w:bottom w:val="single" w:sz="8" w:color="E3E3E3"/>
            </w:tcBorders>
          </w:tcPr>
          <w:p>
            <w:pPr>
              <w:spacing w:after="0"/>
              <w:rPr>
                <w:sz w:val="20"/>
                <w:szCs w:val="20"/>
                <w:color w:val="auto"/>
              </w:rPr>
            </w:pPr>
          </w:p>
        </w:tc>
        <w:tc>
          <w:tcPr>
            <w:tcW w:w="136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54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Balance—April 30, 2024</w:t>
            </w:r>
          </w:p>
        </w:tc>
        <w:tc>
          <w:tcPr>
            <w:tcW w:w="1460" w:type="dxa"/>
            <w:vAlign w:val="bottom"/>
            <w:tcBorders>
              <w:bottom w:val="single" w:sz="8" w:color="auto"/>
            </w:tcBorders>
            <w:shd w:val="clear" w:color="auto" w:fill="E3E3E3"/>
          </w:tcPr>
          <w:p>
            <w:pPr>
              <w:jc w:val="center"/>
              <w:ind w:left="1021"/>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E3E3E3"/>
            </w:tcBorders>
            <w:gridSpan w:val="2"/>
            <w:shd w:val="clear" w:color="auto" w:fill="E3E3E3"/>
          </w:tcPr>
          <w:p>
            <w:pPr>
              <w:jc w:val="right"/>
              <w:ind w:right="108"/>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3E3E3"/>
            </w:tcBorders>
            <w:shd w:val="clear" w:color="auto" w:fill="E3E3E3"/>
          </w:tcPr>
          <w:p>
            <w:pPr>
              <w:jc w:val="right"/>
              <w:ind w:right="1"/>
              <w:spacing w:after="0"/>
              <w:rPr>
                <w:sz w:val="20"/>
                <w:szCs w:val="20"/>
                <w:color w:val="auto"/>
              </w:rPr>
            </w:pPr>
            <w:r>
              <w:rPr>
                <w:rFonts w:ascii="Arial" w:cs="Arial" w:eastAsia="Arial" w:hAnsi="Arial"/>
                <w:sz w:val="16"/>
                <w:szCs w:val="16"/>
                <w:color w:val="auto"/>
              </w:rPr>
              <w:t>65.29</w:t>
            </w:r>
          </w:p>
        </w:tc>
        <w:tc>
          <w:tcPr>
            <w:tcW w:w="80" w:type="dxa"/>
            <w:vAlign w:val="bottom"/>
            <w:tcBorders>
              <w:bottom w:val="single" w:sz="8" w:color="E3E3E3"/>
            </w:tcBorders>
            <w:shd w:val="clear" w:color="auto" w:fill="E3E3E3"/>
          </w:tcPr>
          <w:p>
            <w:pPr>
              <w:spacing w:after="0"/>
              <w:rPr>
                <w:sz w:val="22"/>
                <w:szCs w:val="22"/>
                <w:color w:val="auto"/>
              </w:rPr>
            </w:pPr>
          </w:p>
        </w:tc>
        <w:tc>
          <w:tcPr>
            <w:tcW w:w="174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E3E3E3"/>
            </w:tcBorders>
            <w:shd w:val="clear" w:color="auto" w:fill="E3E3E3"/>
          </w:tcPr>
          <w:p>
            <w:pPr>
              <w:jc w:val="right"/>
              <w:ind w:right="3"/>
              <w:spacing w:after="0"/>
              <w:rPr>
                <w:sz w:val="20"/>
                <w:szCs w:val="20"/>
                <w:color w:val="auto"/>
              </w:rPr>
            </w:pPr>
            <w:r>
              <w:rPr>
                <w:rFonts w:ascii="Arial" w:cs="Arial" w:eastAsia="Arial" w:hAnsi="Arial"/>
                <w:sz w:val="16"/>
                <w:szCs w:val="16"/>
                <w:color w:val="auto"/>
              </w:rPr>
              <w:t>1,168.4</w:t>
            </w:r>
          </w:p>
        </w:tc>
        <w:tc>
          <w:tcPr>
            <w:tcW w:w="0" w:type="dxa"/>
            <w:vAlign w:val="bottom"/>
          </w:tcPr>
          <w:p>
            <w:pPr>
              <w:spacing w:after="0"/>
              <w:rPr>
                <w:sz w:val="1"/>
                <w:szCs w:val="1"/>
                <w:color w:val="auto"/>
              </w:rPr>
            </w:pPr>
          </w:p>
        </w:tc>
      </w:tr>
      <w:tr>
        <w:trPr>
          <w:trHeight w:val="20"/>
        </w:trPr>
        <w:tc>
          <w:tcPr>
            <w:tcW w:w="4540" w:type="dxa"/>
            <w:vAlign w:val="bottom"/>
            <w:tcBorders>
              <w:top w:val="single" w:sz="8" w:color="E3E3E3"/>
            </w:tcBorders>
          </w:tcPr>
          <w:p>
            <w:pPr>
              <w:spacing w:after="0" w:line="20" w:lineRule="exact"/>
              <w:rPr>
                <w:sz w:val="1"/>
                <w:szCs w:val="1"/>
                <w:color w:val="auto"/>
              </w:rPr>
            </w:pPr>
          </w:p>
        </w:tc>
        <w:tc>
          <w:tcPr>
            <w:tcW w:w="1460" w:type="dxa"/>
            <w:vAlign w:val="bottom"/>
            <w:tcBorders>
              <w:top w:val="single" w:sz="8" w:color="E3E3E3"/>
              <w:bottom w:val="single" w:sz="8" w:color="auto"/>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300" w:type="dxa"/>
            <w:vAlign w:val="bottom"/>
            <w:tcBorders>
              <w:top w:val="single" w:sz="8" w:color="E3E3E3"/>
            </w:tcBorders>
          </w:tcPr>
          <w:p>
            <w:pPr>
              <w:spacing w:after="0" w:line="20" w:lineRule="exact"/>
              <w:rPr>
                <w:sz w:val="1"/>
                <w:szCs w:val="1"/>
                <w:color w:val="auto"/>
              </w:rPr>
            </w:pPr>
          </w:p>
        </w:tc>
        <w:tc>
          <w:tcPr>
            <w:tcW w:w="1460" w:type="dxa"/>
            <w:vAlign w:val="bottom"/>
            <w:tcBorders>
              <w:top w:val="single" w:sz="8" w:color="E3E3E3"/>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1740" w:type="dxa"/>
            <w:vAlign w:val="bottom"/>
            <w:tcBorders>
              <w:top w:val="single" w:sz="8" w:color="E3E3E3"/>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140" w:type="dxa"/>
            <w:vAlign w:val="bottom"/>
            <w:tcBorders>
              <w:top w:val="single" w:sz="8" w:color="E3E3E3"/>
            </w:tcBorders>
          </w:tcPr>
          <w:p>
            <w:pPr>
              <w:spacing w:after="0" w:line="20" w:lineRule="exact"/>
              <w:rPr>
                <w:sz w:val="1"/>
                <w:szCs w:val="1"/>
                <w:color w:val="auto"/>
              </w:rPr>
            </w:pPr>
          </w:p>
        </w:tc>
        <w:tc>
          <w:tcPr>
            <w:tcW w:w="1360" w:type="dxa"/>
            <w:vAlign w:val="bottom"/>
            <w:tcBorders>
              <w:top w:val="single" w:sz="8" w:color="E3E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tcPr>
          <w:p>
            <w:pPr>
              <w:ind w:left="20"/>
              <w:spacing w:after="0"/>
              <w:rPr>
                <w:sz w:val="20"/>
                <w:szCs w:val="20"/>
                <w:color w:val="auto"/>
              </w:rPr>
            </w:pPr>
            <w:r>
              <w:rPr>
                <w:rFonts w:ascii="Arial" w:cs="Arial" w:eastAsia="Arial" w:hAnsi="Arial"/>
                <w:sz w:val="16"/>
                <w:szCs w:val="16"/>
                <w:color w:val="auto"/>
              </w:rPr>
              <w:t>Exercisable—April 30, 2024</w:t>
            </w:r>
          </w:p>
        </w:tc>
        <w:tc>
          <w:tcPr>
            <w:tcW w:w="1460" w:type="dxa"/>
            <w:vAlign w:val="bottom"/>
            <w:tcBorders>
              <w:bottom w:val="single" w:sz="8" w:color="auto"/>
            </w:tcBorders>
          </w:tcPr>
          <w:p>
            <w:pPr>
              <w:jc w:val="center"/>
              <w:ind w:left="1021"/>
              <w:spacing w:after="0"/>
              <w:rPr>
                <w:sz w:val="20"/>
                <w:szCs w:val="20"/>
                <w:color w:val="auto"/>
              </w:rPr>
            </w:pPr>
            <w:r>
              <w:rPr>
                <w:rFonts w:ascii="Arial" w:cs="Arial" w:eastAsia="Arial" w:hAnsi="Arial"/>
                <w:sz w:val="16"/>
                <w:szCs w:val="16"/>
                <w:color w:val="auto"/>
              </w:rPr>
              <w:t>5.2</w:t>
            </w:r>
          </w:p>
        </w:tc>
        <w:tc>
          <w:tcPr>
            <w:tcW w:w="380" w:type="dxa"/>
            <w:vAlign w:val="bottom"/>
            <w:gridSpan w:val="2"/>
          </w:tcPr>
          <w:p>
            <w:pPr>
              <w:jc w:val="right"/>
              <w:ind w:right="108"/>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65.29</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1,168.4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included in costs and expenses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April 30,</w:t>
            </w:r>
          </w:p>
        </w:tc>
        <w:tc>
          <w:tcPr>
            <w:tcW w:w="560" w:type="dxa"/>
            <w:vAlign w:val="bottom"/>
            <w:tcBorders>
              <w:bottom w:val="single" w:sz="8" w:color="auto"/>
            </w:tcBorders>
          </w:tcPr>
          <w:p>
            <w:pPr>
              <w:spacing w:after="0"/>
              <w:rPr>
                <w:sz w:val="17"/>
                <w:szCs w:val="17"/>
                <w:color w:val="auto"/>
              </w:rPr>
            </w:pPr>
          </w:p>
        </w:tc>
      </w:tr>
      <w:tr>
        <w:trPr>
          <w:trHeight w:val="223"/>
        </w:trPr>
        <w:tc>
          <w:tcPr>
            <w:tcW w:w="4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3E3E3"/>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472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Cost of product revenue</w:t>
            </w:r>
          </w:p>
        </w:tc>
        <w:tc>
          <w:tcPr>
            <w:tcW w:w="340" w:type="dxa"/>
            <w:vAlign w:val="bottom"/>
            <w:shd w:val="clear" w:color="auto" w:fill="E3E3E3"/>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shd w:val="clear" w:color="auto" w:fill="E3E3E3"/>
          </w:tcPr>
          <w:p>
            <w:pPr>
              <w:spacing w:after="0"/>
              <w:rPr>
                <w:sz w:val="21"/>
                <w:szCs w:val="21"/>
                <w:color w:val="auto"/>
              </w:rPr>
            </w:pPr>
          </w:p>
        </w:tc>
        <w:tc>
          <w:tcPr>
            <w:tcW w:w="1000" w:type="dxa"/>
            <w:vAlign w:val="bottom"/>
            <w:shd w:val="clear" w:color="auto" w:fill="E3E3E3"/>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7.5</w:t>
            </w:r>
          </w:p>
        </w:tc>
      </w:tr>
      <w:tr>
        <w:trPr>
          <w:trHeight w:val="235"/>
        </w:trPr>
        <w:tc>
          <w:tcPr>
            <w:tcW w:w="4720" w:type="dxa"/>
            <w:vAlign w:val="bottom"/>
          </w:tcPr>
          <w:p>
            <w:pPr>
              <w:ind w:left="20"/>
              <w:spacing w:after="0"/>
              <w:rPr>
                <w:sz w:val="20"/>
                <w:szCs w:val="20"/>
                <w:color w:val="auto"/>
              </w:rPr>
            </w:pPr>
            <w:r>
              <w:rPr>
                <w:rFonts w:ascii="Arial" w:cs="Arial" w:eastAsia="Arial" w:hAnsi="Arial"/>
                <w:sz w:val="16"/>
                <w:szCs w:val="16"/>
                <w:color w:val="auto"/>
              </w:rPr>
              <w:t>Cost of subscription and support revenue</w:t>
            </w:r>
          </w:p>
        </w:tc>
        <w:tc>
          <w:tcPr>
            <w:tcW w:w="34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91.5</w:t>
            </w:r>
          </w:p>
        </w:tc>
      </w:tr>
      <w:tr>
        <w:trPr>
          <w:trHeight w:val="251"/>
        </w:trPr>
        <w:tc>
          <w:tcPr>
            <w:tcW w:w="472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E3E3E3"/>
          </w:tcPr>
          <w:p>
            <w:pPr>
              <w:spacing w:after="0"/>
              <w:rPr>
                <w:sz w:val="21"/>
                <w:szCs w:val="21"/>
                <w:color w:val="auto"/>
              </w:rPr>
            </w:pPr>
          </w:p>
        </w:tc>
        <w:tc>
          <w:tcPr>
            <w:tcW w:w="120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5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386.9</w:t>
            </w:r>
          </w:p>
        </w:tc>
        <w:tc>
          <w:tcPr>
            <w:tcW w:w="10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5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373.1</w:t>
            </w:r>
          </w:p>
        </w:tc>
      </w:tr>
      <w:tr>
        <w:trPr>
          <w:trHeight w:val="235"/>
        </w:trPr>
        <w:tc>
          <w:tcPr>
            <w:tcW w:w="47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256.3</w:t>
            </w:r>
          </w:p>
        </w:tc>
      </w:tr>
      <w:tr>
        <w:trPr>
          <w:trHeight w:val="244"/>
        </w:trPr>
        <w:tc>
          <w:tcPr>
            <w:tcW w:w="4720" w:type="dxa"/>
            <w:vAlign w:val="bottom"/>
            <w:shd w:val="clear" w:color="auto" w:fill="E3E3E3"/>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E3E3E3"/>
          </w:tcPr>
          <w:p>
            <w:pPr>
              <w:spacing w:after="0"/>
              <w:rPr>
                <w:sz w:val="21"/>
                <w:szCs w:val="21"/>
                <w:color w:val="auto"/>
              </w:rPr>
            </w:pPr>
          </w:p>
        </w:tc>
        <w:tc>
          <w:tcPr>
            <w:tcW w:w="120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E3E3E3"/>
          </w:tcPr>
          <w:p>
            <w:pPr>
              <w:spacing w:after="0"/>
              <w:rPr>
                <w:sz w:val="21"/>
                <w:szCs w:val="21"/>
                <w:color w:val="auto"/>
              </w:rPr>
            </w:pPr>
          </w:p>
        </w:tc>
        <w:tc>
          <w:tcPr>
            <w:tcW w:w="1000" w:type="dxa"/>
            <w:vAlign w:val="bottom"/>
            <w:tcBorders>
              <w:bottom w:val="single" w:sz="8" w:color="auto"/>
            </w:tcBorders>
            <w:shd w:val="clear" w:color="auto" w:fill="E3E3E3"/>
          </w:tcPr>
          <w:p>
            <w:pPr>
              <w:spacing w:after="0"/>
              <w:rPr>
                <w:sz w:val="21"/>
                <w:szCs w:val="21"/>
                <w:color w:val="auto"/>
              </w:rPr>
            </w:pPr>
          </w:p>
        </w:tc>
        <w:tc>
          <w:tcPr>
            <w:tcW w:w="5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104.7</w:t>
            </w:r>
          </w:p>
        </w:tc>
      </w:tr>
      <w:tr>
        <w:trPr>
          <w:trHeight w:val="243"/>
        </w:trPr>
        <w:tc>
          <w:tcPr>
            <w:tcW w:w="4720" w:type="dxa"/>
            <w:vAlign w:val="bottom"/>
          </w:tcPr>
          <w:p>
            <w:pPr>
              <w:ind w:left="240"/>
              <w:spacing w:after="0"/>
              <w:rPr>
                <w:sz w:val="20"/>
                <w:szCs w:val="20"/>
                <w:color w:val="auto"/>
              </w:rPr>
            </w:pPr>
            <w:r>
              <w:rPr>
                <w:rFonts w:ascii="Arial" w:cs="Arial" w:eastAsia="Arial" w:hAnsi="Arial"/>
                <w:sz w:val="16"/>
                <w:szCs w:val="16"/>
                <w:color w:val="auto"/>
              </w:rPr>
              <w:t>Total share-based compensation</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263.5</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809.8</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833.1</w:t>
            </w: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As of April 30, 2024, total compensation cost related to unvested share-based awards not yet recognized was $2.2 billion. This cost is expected to be amortized over a weighted-average period of approximately 2.7 years.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113" w:lineRule="exact"/>
        <w:rPr>
          <w:sz w:val="20"/>
          <w:szCs w:val="20"/>
          <w:color w:val="auto"/>
        </w:rPr>
      </w:pPr>
    </w:p>
    <w:p>
      <w:pPr>
        <w:jc w:val="both"/>
        <w:ind w:right="240"/>
        <w:spacing w:after="0" w:line="265" w:lineRule="auto"/>
        <w:rPr>
          <w:sz w:val="20"/>
          <w:szCs w:val="20"/>
          <w:color w:val="auto"/>
        </w:rPr>
      </w:pPr>
      <w:r>
        <w:rPr>
          <w:rFonts w:ascii="Arial" w:cs="Arial" w:eastAsia="Arial" w:hAnsi="Arial"/>
          <w:sz w:val="16"/>
          <w:szCs w:val="16"/>
          <w:color w:val="auto"/>
        </w:rPr>
        <w:t>For the three and nine months ended April 30, 2024, our benefit from income taxes reflected an effective tax rate of negative 11.0% and negative 231.7%, respectively. Our effective tax rates for the three months ended April 30, 2024 differed from the U.S. statutory tax rate primarily due to excess tax benefits from share-based compensation and the release of our valuation allowance. Our effective tax rates for the nine months ended April 30, 2024 differed from the U.S. statutory tax rate primarily due to the release of our valuation allowance.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regularly assess the need for a valuation allowance on our deferred tax assets. In making this assessment, we consider both positive and negative evidence related to the likelihood of realization of the deferred tax assets to determine, based on the weight of available evidence, whether it is more likely than not that some or all the deferred tax assets will not be realized. Based on our analysis of all positive and negative evidence during the fiscal quarter ended January 31, 2024, we concluded it is more likely than not that our U.S. federal, U.S. states other than California, and United Kingdom deferred tax assets will be realizable based on our recent profitability and continued forecasted income. In making these judgments, we considered our recent and expected ongoing profitability, which supports our conclusion of the realization of the deferred tax assets. We continue to maintain a valuation allowance for our California deferred tax assets due to the uncertainty regarding realizability of these deferred tax assets as they have not met the “more likely than not” realization criterion. We expect future research and development tax credit generation in California to exceed our ability to use the existing tax credits.</w:t>
      </w:r>
    </w:p>
    <w:p>
      <w:pPr>
        <w:spacing w:after="0" w:line="7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As a result of the valuation allowance release, during the three and nine months ended April 30, 2024, we recognized a deferred tax benefit of $40.0 million and $3.3 billion, respectively, for the U.S. federal, U.S. states other than California, and United Kingdom deferred tax assets. Our U.S. federal and state deferred tax assets largely consist of capitalized research expenditures and accelerated recognition of deferred revenue for tax purposes. U.S. tax carryforwards (including net operating losses and tax credits) are expected to be fully utilized to the extent allowable by law. Our United Kingdom deferred tax assets largely consist of basis differences in intangible assets and related net operating losses expected to be utilized in the future.</w:t>
      </w:r>
    </w:p>
    <w:p>
      <w:pPr>
        <w:spacing w:after="0" w:line="64"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In addition, during the three and nine months ended April 30, 2024, we recognized a deferred tax expense of $7.4 million and $1.7 billion, respectively, for the U.S. federal indirect effect of foreign deferred taxes consistent with our policy to record deferred tax assets for basis differences relating to our global intangible low-taxed income. Accordingly, during the three and nine months ended April 30, 2024, we recognized a net tax benefit of $32.6 million and $1.6 billion, respectively, relating to our valuation allowance release. We will continue to monitor the need for a valuation allowance on our deferred tax assets.</w:t>
      </w:r>
    </w:p>
    <w:p>
      <w:pPr>
        <w:spacing w:after="0" w:line="26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For the three and nine months ended April 30, 2023, our provision for income taxes reflected an effective tax rate of 17.7% and 15.1%, respectively. Our income taxes for the three and nine months ended April 30, 2023 were primarily due to U.S. federal and state income taxes, withholding taxes, and foreign income taxes. Our effective tax rates differed from the U.S. statutory tax rate primarily due to an increase in current taxes driven by capitalization of research and development expenditures with no offsetting deferred benefit as a result of our valuation allowance. This increase was offset by a tax benefit from a release of tax reserves related to uncertain tax positions resulting from an agreement with a non-U.S. tax authority to pay $28.9 million to settle a tax audit during the nine months ended April 30, 2023.</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Net Income Per Share</w:t>
      </w:r>
    </w:p>
    <w:p>
      <w:pPr>
        <w:spacing w:after="0" w:line="12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Basic net income per share is computed by dividing net income by basic weighted-average shares outstanding during the period. Diluted net income per share is computed by dividing net income by diluted weighted-average shares outstanding during the period giving effect to all potentially dilutive securities to the extent they are dilutive. Potentially dilutive securities include shares issuable upon conversion of our convertible senior notes using the if-converted method, warrants related to the issuance of convertible senior notes, and equity awards under our employee equity incentive plans using the treasury stock method.</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computation of basic and diluted net income per share of common stock (in millions,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April 30,</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68"/>
        </w:trPr>
        <w:tc>
          <w:tcPr>
            <w:tcW w:w="492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E3E3E3"/>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E3E3E3"/>
            </w:tcBorders>
            <w:shd w:val="clear" w:color="auto" w:fill="E3E3E3"/>
          </w:tcPr>
          <w:p>
            <w:pPr>
              <w:spacing w:after="0"/>
              <w:rPr>
                <w:sz w:val="22"/>
                <w:szCs w:val="22"/>
                <w:color w:val="auto"/>
              </w:rPr>
            </w:pPr>
          </w:p>
        </w:tc>
        <w:tc>
          <w:tcPr>
            <w:tcW w:w="980" w:type="dxa"/>
            <w:vAlign w:val="bottom"/>
            <w:tcBorders>
              <w:bottom w:val="single" w:sz="8" w:color="auto"/>
            </w:tcBorders>
            <w:shd w:val="clear" w:color="auto" w:fill="E3E3E3"/>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99"/>
              </w:rPr>
              <w:t>107.8</w:t>
            </w:r>
          </w:p>
        </w:tc>
        <w:tc>
          <w:tcPr>
            <w:tcW w:w="120" w:type="dxa"/>
            <w:vAlign w:val="bottom"/>
            <w:tcBorders>
              <w:bottom w:val="single" w:sz="8" w:color="E3E3E3"/>
            </w:tcBorders>
            <w:shd w:val="clear" w:color="auto" w:fill="E3E3E3"/>
          </w:tcPr>
          <w:p>
            <w:pPr>
              <w:spacing w:after="0"/>
              <w:rPr>
                <w:sz w:val="22"/>
                <w:szCs w:val="22"/>
                <w:color w:val="auto"/>
              </w:rPr>
            </w:pPr>
          </w:p>
        </w:tc>
        <w:tc>
          <w:tcPr>
            <w:tcW w:w="36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2,219.9</w:t>
            </w:r>
          </w:p>
        </w:tc>
        <w:tc>
          <w:tcPr>
            <w:tcW w:w="100" w:type="dxa"/>
            <w:vAlign w:val="bottom"/>
            <w:tcBorders>
              <w:bottom w:val="single" w:sz="8" w:color="E3E3E3"/>
            </w:tcBorders>
            <w:shd w:val="clear" w:color="auto" w:fill="E3E3E3"/>
          </w:tcPr>
          <w:p>
            <w:pPr>
              <w:spacing w:after="0"/>
              <w:rPr>
                <w:sz w:val="22"/>
                <w:szCs w:val="22"/>
                <w:color w:val="auto"/>
              </w:rPr>
            </w:pPr>
          </w:p>
        </w:tc>
        <w:tc>
          <w:tcPr>
            <w:tcW w:w="1000" w:type="dxa"/>
            <w:vAlign w:val="bottom"/>
            <w:tcBorders>
              <w:bottom w:val="single" w:sz="8" w:color="auto"/>
            </w:tcBorders>
            <w:shd w:val="clear" w:color="auto" w:fill="E3E3E3"/>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0"/>
        </w:trPr>
        <w:tc>
          <w:tcPr>
            <w:tcW w:w="4920" w:type="dxa"/>
            <w:vAlign w:val="bottom"/>
            <w:tcBorders>
              <w:top w:val="single" w:sz="8" w:color="E3E3E3"/>
            </w:tcBorders>
          </w:tcPr>
          <w:p>
            <w:pPr>
              <w:spacing w:after="0" w:line="20" w:lineRule="exact"/>
              <w:rPr>
                <w:sz w:val="1"/>
                <w:szCs w:val="1"/>
                <w:color w:val="auto"/>
              </w:rPr>
            </w:pPr>
          </w:p>
        </w:tc>
        <w:tc>
          <w:tcPr>
            <w:tcW w:w="300" w:type="dxa"/>
            <w:vAlign w:val="bottom"/>
            <w:tcBorders>
              <w:top w:val="single" w:sz="8" w:color="E3E3E3"/>
              <w:bottom w:val="single" w:sz="8" w:color="auto"/>
            </w:tcBorders>
          </w:tcPr>
          <w:p>
            <w:pPr>
              <w:spacing w:after="0" w:line="20" w:lineRule="exact"/>
              <w:rPr>
                <w:sz w:val="1"/>
                <w:szCs w:val="1"/>
                <w:color w:val="auto"/>
              </w:rPr>
            </w:pPr>
          </w:p>
        </w:tc>
        <w:tc>
          <w:tcPr>
            <w:tcW w:w="116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980" w:type="dxa"/>
            <w:vAlign w:val="bottom"/>
            <w:tcBorders>
              <w:top w:val="single" w:sz="8" w:color="E3E3E3"/>
              <w:bottom w:val="single" w:sz="8" w:color="auto"/>
            </w:tcBorders>
          </w:tcPr>
          <w:p>
            <w:pPr>
              <w:spacing w:after="0" w:line="20" w:lineRule="exact"/>
              <w:rPr>
                <w:sz w:val="1"/>
                <w:szCs w:val="1"/>
                <w:color w:val="auto"/>
              </w:rPr>
            </w:pPr>
          </w:p>
        </w:tc>
        <w:tc>
          <w:tcPr>
            <w:tcW w:w="48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360" w:type="dxa"/>
            <w:vAlign w:val="bottom"/>
            <w:tcBorders>
              <w:top w:val="single" w:sz="8" w:color="E3E3E3"/>
              <w:bottom w:val="single" w:sz="8" w:color="auto"/>
            </w:tcBorders>
          </w:tcPr>
          <w:p>
            <w:pPr>
              <w:spacing w:after="0" w:line="20" w:lineRule="exact"/>
              <w:rPr>
                <w:sz w:val="1"/>
                <w:szCs w:val="1"/>
                <w:color w:val="auto"/>
              </w:rPr>
            </w:pPr>
          </w:p>
        </w:tc>
        <w:tc>
          <w:tcPr>
            <w:tcW w:w="118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000" w:type="dxa"/>
            <w:vAlign w:val="bottom"/>
            <w:tcBorders>
              <w:top w:val="single" w:sz="8" w:color="E3E3E3"/>
              <w:bottom w:val="single" w:sz="8" w:color="auto"/>
            </w:tcBorders>
          </w:tcPr>
          <w:p>
            <w:pPr>
              <w:spacing w:after="0" w:line="20" w:lineRule="exact"/>
              <w:rPr>
                <w:sz w:val="1"/>
                <w:szCs w:val="1"/>
                <w:color w:val="auto"/>
              </w:rPr>
            </w:pPr>
          </w:p>
        </w:tc>
        <w:tc>
          <w:tcPr>
            <w:tcW w:w="54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E3E3E3"/>
          </w:tcPr>
          <w:p>
            <w:pPr>
              <w:ind w:left="20"/>
              <w:spacing w:after="0"/>
              <w:rPr>
                <w:sz w:val="20"/>
                <w:szCs w:val="20"/>
                <w:color w:val="auto"/>
              </w:rPr>
            </w:pPr>
            <w:r>
              <w:rPr>
                <w:rFonts w:ascii="Arial" w:cs="Arial" w:eastAsia="Arial" w:hAnsi="Arial"/>
                <w:sz w:val="16"/>
                <w:szCs w:val="16"/>
                <w:color w:val="auto"/>
              </w:rPr>
              <w:t>Weighted-average shares used to compute net income per share,</w:t>
            </w:r>
          </w:p>
        </w:tc>
        <w:tc>
          <w:tcPr>
            <w:tcW w:w="300" w:type="dxa"/>
            <w:vAlign w:val="bottom"/>
            <w:shd w:val="clear" w:color="auto" w:fill="E3E3E3"/>
          </w:tcPr>
          <w:p>
            <w:pPr>
              <w:spacing w:after="0"/>
              <w:rPr>
                <w:sz w:val="18"/>
                <w:szCs w:val="18"/>
                <w:color w:val="auto"/>
              </w:rPr>
            </w:pPr>
          </w:p>
        </w:tc>
        <w:tc>
          <w:tcPr>
            <w:tcW w:w="11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48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360" w:type="dxa"/>
            <w:vAlign w:val="bottom"/>
            <w:shd w:val="clear" w:color="auto" w:fill="E3E3E3"/>
          </w:tcPr>
          <w:p>
            <w:pPr>
              <w:spacing w:after="0"/>
              <w:rPr>
                <w:sz w:val="18"/>
                <w:szCs w:val="18"/>
                <w:color w:val="auto"/>
              </w:rPr>
            </w:pPr>
          </w:p>
        </w:tc>
        <w:tc>
          <w:tcPr>
            <w:tcW w:w="11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000" w:type="dxa"/>
            <w:vAlign w:val="bottom"/>
            <w:shd w:val="clear" w:color="auto" w:fill="E3E3E3"/>
          </w:tcPr>
          <w:p>
            <w:pPr>
              <w:spacing w:after="0"/>
              <w:rPr>
                <w:sz w:val="18"/>
                <w:szCs w:val="18"/>
                <w:color w:val="auto"/>
              </w:rPr>
            </w:pPr>
          </w:p>
        </w:tc>
        <w:tc>
          <w:tcPr>
            <w:tcW w:w="540" w:type="dxa"/>
            <w:vAlign w:val="bottom"/>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E3E3E3"/>
          </w:tcPr>
          <w:p>
            <w:pPr>
              <w:ind w:left="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E3E3E3"/>
          </w:tcPr>
          <w:p>
            <w:pPr>
              <w:spacing w:after="0"/>
              <w:rPr>
                <w:sz w:val="20"/>
                <w:szCs w:val="20"/>
                <w:color w:val="auto"/>
              </w:rPr>
            </w:pPr>
          </w:p>
        </w:tc>
        <w:tc>
          <w:tcPr>
            <w:tcW w:w="11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322.9</w:t>
            </w:r>
          </w:p>
        </w:tc>
        <w:tc>
          <w:tcPr>
            <w:tcW w:w="100" w:type="dxa"/>
            <w:vAlign w:val="bottom"/>
            <w:shd w:val="clear" w:color="auto" w:fill="E3E3E3"/>
          </w:tcPr>
          <w:p>
            <w:pPr>
              <w:spacing w:after="0"/>
              <w:rPr>
                <w:sz w:val="20"/>
                <w:szCs w:val="20"/>
                <w:color w:val="auto"/>
              </w:rPr>
            </w:pPr>
          </w:p>
        </w:tc>
        <w:tc>
          <w:tcPr>
            <w:tcW w:w="980" w:type="dxa"/>
            <w:vAlign w:val="bottom"/>
            <w:shd w:val="clear" w:color="auto" w:fill="E3E3E3"/>
          </w:tcPr>
          <w:p>
            <w:pPr>
              <w:spacing w:after="0"/>
              <w:rPr>
                <w:sz w:val="20"/>
                <w:szCs w:val="20"/>
                <w:color w:val="auto"/>
              </w:rPr>
            </w:pPr>
          </w:p>
        </w:tc>
        <w:tc>
          <w:tcPr>
            <w:tcW w:w="480" w:type="dxa"/>
            <w:vAlign w:val="bottom"/>
            <w:shd w:val="clear" w:color="auto" w:fill="E3E3E3"/>
          </w:tcPr>
          <w:p>
            <w:pPr>
              <w:jc w:val="right"/>
              <w:spacing w:after="0"/>
              <w:rPr>
                <w:sz w:val="20"/>
                <w:szCs w:val="20"/>
                <w:color w:val="auto"/>
              </w:rPr>
            </w:pPr>
            <w:r>
              <w:rPr>
                <w:rFonts w:ascii="Arial" w:cs="Arial" w:eastAsia="Arial" w:hAnsi="Arial"/>
                <w:sz w:val="16"/>
                <w:szCs w:val="16"/>
                <w:color w:val="auto"/>
                <w:w w:val="99"/>
              </w:rPr>
              <w:t>303.9</w:t>
            </w:r>
          </w:p>
        </w:tc>
        <w:tc>
          <w:tcPr>
            <w:tcW w:w="12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1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317.5</w:t>
            </w:r>
          </w:p>
        </w:tc>
        <w:tc>
          <w:tcPr>
            <w:tcW w:w="100" w:type="dxa"/>
            <w:vAlign w:val="bottom"/>
            <w:shd w:val="clear" w:color="auto" w:fill="E3E3E3"/>
          </w:tcPr>
          <w:p>
            <w:pPr>
              <w:spacing w:after="0"/>
              <w:rPr>
                <w:sz w:val="20"/>
                <w:szCs w:val="20"/>
                <w:color w:val="auto"/>
              </w:rPr>
            </w:pPr>
          </w:p>
        </w:tc>
        <w:tc>
          <w:tcPr>
            <w:tcW w:w="1000" w:type="dxa"/>
            <w:vAlign w:val="bottom"/>
            <w:shd w:val="clear" w:color="auto" w:fill="E3E3E3"/>
          </w:tcPr>
          <w:p>
            <w:pPr>
              <w:spacing w:after="0"/>
              <w:rPr>
                <w:sz w:val="20"/>
                <w:szCs w:val="20"/>
                <w:color w:val="auto"/>
              </w:rPr>
            </w:pPr>
          </w:p>
        </w:tc>
        <w:tc>
          <w:tcPr>
            <w:tcW w:w="5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302.0</w:t>
            </w:r>
          </w:p>
        </w:tc>
        <w:tc>
          <w:tcPr>
            <w:tcW w:w="0" w:type="dxa"/>
            <w:vAlign w:val="bottom"/>
          </w:tcPr>
          <w:p>
            <w:pPr>
              <w:spacing w:after="0"/>
              <w:rPr>
                <w:sz w:val="1"/>
                <w:szCs w:val="1"/>
                <w:color w:val="auto"/>
              </w:rPr>
            </w:pPr>
          </w:p>
        </w:tc>
      </w:tr>
      <w:tr>
        <w:trPr>
          <w:trHeight w:val="235"/>
        </w:trPr>
        <w:tc>
          <w:tcPr>
            <w:tcW w:w="4920" w:type="dxa"/>
            <w:vAlign w:val="bottom"/>
          </w:tcPr>
          <w:p>
            <w:pPr>
              <w:ind w:left="20"/>
              <w:spacing w:after="0"/>
              <w:rPr>
                <w:sz w:val="20"/>
                <w:szCs w:val="20"/>
                <w:color w:val="auto"/>
              </w:rPr>
            </w:pPr>
            <w:r>
              <w:rPr>
                <w:rFonts w:ascii="Arial" w:cs="Arial" w:eastAsia="Arial" w:hAnsi="Arial"/>
                <w:sz w:val="16"/>
                <w:szCs w:val="16"/>
                <w:color w:val="auto"/>
              </w:rPr>
              <w:t>Weighted-average effect of potentially dilutive securities: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Convertible senior notes</w:t>
            </w:r>
          </w:p>
        </w:tc>
        <w:tc>
          <w:tcPr>
            <w:tcW w:w="300" w:type="dxa"/>
            <w:vAlign w:val="bottom"/>
            <w:shd w:val="clear" w:color="auto" w:fill="E3E3E3"/>
          </w:tcPr>
          <w:p>
            <w:pPr>
              <w:spacing w:after="0"/>
              <w:rPr>
                <w:sz w:val="21"/>
                <w:szCs w:val="21"/>
                <w:color w:val="auto"/>
              </w:rPr>
            </w:pPr>
          </w:p>
        </w:tc>
        <w:tc>
          <w:tcPr>
            <w:tcW w:w="116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9.5</w:t>
            </w:r>
          </w:p>
        </w:tc>
        <w:tc>
          <w:tcPr>
            <w:tcW w:w="100" w:type="dxa"/>
            <w:vAlign w:val="bottom"/>
            <w:shd w:val="clear" w:color="auto" w:fill="E3E3E3"/>
          </w:tcPr>
          <w:p>
            <w:pPr>
              <w:spacing w:after="0"/>
              <w:rPr>
                <w:sz w:val="21"/>
                <w:szCs w:val="21"/>
                <w:color w:val="auto"/>
              </w:rPr>
            </w:pPr>
          </w:p>
        </w:tc>
        <w:tc>
          <w:tcPr>
            <w:tcW w:w="980" w:type="dxa"/>
            <w:vAlign w:val="bottom"/>
            <w:shd w:val="clear" w:color="auto" w:fill="E3E3E3"/>
          </w:tcPr>
          <w:p>
            <w:pPr>
              <w:spacing w:after="0"/>
              <w:rPr>
                <w:sz w:val="21"/>
                <w:szCs w:val="21"/>
                <w:color w:val="auto"/>
              </w:rPr>
            </w:pPr>
          </w:p>
        </w:tc>
        <w:tc>
          <w:tcPr>
            <w:tcW w:w="4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118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5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5"/>
        </w:trPr>
        <w:tc>
          <w:tcPr>
            <w:tcW w:w="4920" w:type="dxa"/>
            <w:vAlign w:val="bottom"/>
          </w:tcPr>
          <w:p>
            <w:pPr>
              <w:ind w:left="240"/>
              <w:spacing w:after="0"/>
              <w:rPr>
                <w:sz w:val="20"/>
                <w:szCs w:val="20"/>
                <w:color w:val="auto"/>
              </w:rPr>
            </w:pPr>
            <w:r>
              <w:rPr>
                <w:rFonts w:ascii="Arial" w:cs="Arial" w:eastAsia="Arial" w:hAnsi="Arial"/>
                <w:sz w:val="16"/>
                <w:szCs w:val="16"/>
                <w:color w:val="auto"/>
              </w:rPr>
              <w:t>Warrants related to the issuance of convertible senior notes</w:t>
            </w:r>
          </w:p>
        </w:tc>
        <w:tc>
          <w:tcPr>
            <w:tcW w:w="30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51"/>
        </w:trPr>
        <w:tc>
          <w:tcPr>
            <w:tcW w:w="4920" w:type="dxa"/>
            <w:vAlign w:val="bottom"/>
            <w:shd w:val="clear" w:color="auto" w:fill="E3E3E3"/>
          </w:tcPr>
          <w:p>
            <w:pPr>
              <w:ind w:left="240"/>
              <w:spacing w:after="0"/>
              <w:rPr>
                <w:sz w:val="20"/>
                <w:szCs w:val="20"/>
                <w:color w:val="auto"/>
              </w:rPr>
            </w:pPr>
            <w:r>
              <w:rPr>
                <w:rFonts w:ascii="Arial" w:cs="Arial" w:eastAsia="Arial" w:hAnsi="Arial"/>
                <w:sz w:val="16"/>
                <w:szCs w:val="16"/>
                <w:color w:val="auto"/>
              </w:rPr>
              <w:t>Employee equity incentive plans</w:t>
            </w:r>
          </w:p>
        </w:tc>
        <w:tc>
          <w:tcPr>
            <w:tcW w:w="300" w:type="dxa"/>
            <w:vAlign w:val="bottom"/>
            <w:tcBorders>
              <w:bottom w:val="single" w:sz="8" w:color="auto"/>
            </w:tcBorders>
            <w:shd w:val="clear" w:color="auto" w:fill="E3E3E3"/>
          </w:tcPr>
          <w:p>
            <w:pPr>
              <w:spacing w:after="0"/>
              <w:rPr>
                <w:sz w:val="21"/>
                <w:szCs w:val="21"/>
                <w:color w:val="auto"/>
              </w:rPr>
            </w:pPr>
          </w:p>
        </w:tc>
        <w:tc>
          <w:tcPr>
            <w:tcW w:w="116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E3E3E3"/>
          </w:tcPr>
          <w:p>
            <w:pPr>
              <w:spacing w:after="0"/>
              <w:rPr>
                <w:sz w:val="21"/>
                <w:szCs w:val="21"/>
                <w:color w:val="auto"/>
              </w:rPr>
            </w:pPr>
          </w:p>
        </w:tc>
        <w:tc>
          <w:tcPr>
            <w:tcW w:w="980" w:type="dxa"/>
            <w:vAlign w:val="bottom"/>
            <w:tcBorders>
              <w:bottom w:val="single" w:sz="8" w:color="auto"/>
            </w:tcBorders>
            <w:shd w:val="clear" w:color="auto" w:fill="E3E3E3"/>
          </w:tcPr>
          <w:p>
            <w:pPr>
              <w:spacing w:after="0"/>
              <w:rPr>
                <w:sz w:val="21"/>
                <w:szCs w:val="21"/>
                <w:color w:val="auto"/>
              </w:rPr>
            </w:pPr>
          </w:p>
        </w:tc>
        <w:tc>
          <w:tcPr>
            <w:tcW w:w="4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E3E3E3"/>
          </w:tcPr>
          <w:p>
            <w:pPr>
              <w:spacing w:after="0"/>
              <w:rPr>
                <w:sz w:val="21"/>
                <w:szCs w:val="21"/>
                <w:color w:val="auto"/>
              </w:rPr>
            </w:pPr>
          </w:p>
        </w:tc>
        <w:tc>
          <w:tcPr>
            <w:tcW w:w="36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E3E3E3"/>
          </w:tcPr>
          <w:p>
            <w:pPr>
              <w:spacing w:after="0"/>
              <w:rPr>
                <w:sz w:val="21"/>
                <w:szCs w:val="21"/>
                <w:color w:val="auto"/>
              </w:rPr>
            </w:pPr>
          </w:p>
        </w:tc>
        <w:tc>
          <w:tcPr>
            <w:tcW w:w="1000" w:type="dxa"/>
            <w:vAlign w:val="bottom"/>
            <w:tcBorders>
              <w:bottom w:val="single" w:sz="8" w:color="auto"/>
            </w:tcBorders>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5"/>
        </w:trPr>
        <w:tc>
          <w:tcPr>
            <w:tcW w:w="4920" w:type="dxa"/>
            <w:vAlign w:val="bottom"/>
          </w:tcPr>
          <w:p>
            <w:pPr>
              <w:ind w:left="20"/>
              <w:spacing w:after="0"/>
              <w:rPr>
                <w:sz w:val="20"/>
                <w:szCs w:val="20"/>
                <w:color w:val="auto"/>
              </w:rPr>
            </w:pPr>
            <w:r>
              <w:rPr>
                <w:rFonts w:ascii="Arial" w:cs="Arial" w:eastAsia="Arial" w:hAnsi="Arial"/>
                <w:sz w:val="16"/>
                <w:szCs w:val="16"/>
                <w:color w:val="auto"/>
              </w:rPr>
              <w:t>Weighted-average shares used to compute net income per share,</w:t>
            </w:r>
          </w:p>
        </w:tc>
        <w:tc>
          <w:tcPr>
            <w:tcW w:w="300" w:type="dxa"/>
            <w:vAlign w:val="bottom"/>
          </w:tcPr>
          <w:p>
            <w:pPr>
              <w:spacing w:after="0"/>
              <w:rPr>
                <w:sz w:val="16"/>
                <w:szCs w:val="16"/>
                <w:color w:val="auto"/>
              </w:rPr>
            </w:pP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354.6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9"/>
              </w:rPr>
              <w:t>344.7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E3E3E3"/>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920" w:type="dxa"/>
            <w:vAlign w:val="bottom"/>
            <w:shd w:val="clear" w:color="auto" w:fill="E3E3E3"/>
          </w:tcPr>
          <w:p>
            <w:pPr>
              <w:spacing w:after="0"/>
              <w:rPr>
                <w:sz w:val="24"/>
                <w:szCs w:val="24"/>
                <w:color w:val="auto"/>
              </w:rPr>
            </w:pPr>
          </w:p>
        </w:tc>
        <w:tc>
          <w:tcPr>
            <w:tcW w:w="300" w:type="dxa"/>
            <w:vAlign w:val="bottom"/>
            <w:shd w:val="clear" w:color="auto" w:fill="E3E3E3"/>
          </w:tcPr>
          <w:p>
            <w:pPr>
              <w:spacing w:after="0"/>
              <w:rPr>
                <w:sz w:val="24"/>
                <w:szCs w:val="24"/>
                <w:color w:val="auto"/>
              </w:rPr>
            </w:pPr>
          </w:p>
        </w:tc>
        <w:tc>
          <w:tcPr>
            <w:tcW w:w="116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980" w:type="dxa"/>
            <w:vAlign w:val="bottom"/>
            <w:shd w:val="clear" w:color="auto" w:fill="E3E3E3"/>
          </w:tcPr>
          <w:p>
            <w:pPr>
              <w:spacing w:after="0"/>
              <w:rPr>
                <w:sz w:val="24"/>
                <w:szCs w:val="24"/>
                <w:color w:val="auto"/>
              </w:rPr>
            </w:pPr>
          </w:p>
        </w:tc>
        <w:tc>
          <w:tcPr>
            <w:tcW w:w="480" w:type="dxa"/>
            <w:vAlign w:val="bottom"/>
            <w:shd w:val="clear" w:color="auto" w:fill="E3E3E3"/>
          </w:tcPr>
          <w:p>
            <w:pPr>
              <w:spacing w:after="0"/>
              <w:rPr>
                <w:sz w:val="24"/>
                <w:szCs w:val="24"/>
                <w:color w:val="auto"/>
              </w:rPr>
            </w:pPr>
          </w:p>
        </w:tc>
        <w:tc>
          <w:tcPr>
            <w:tcW w:w="120" w:type="dxa"/>
            <w:vAlign w:val="bottom"/>
            <w:shd w:val="clear" w:color="auto" w:fill="E3E3E3"/>
          </w:tcPr>
          <w:p>
            <w:pPr>
              <w:spacing w:after="0"/>
              <w:rPr>
                <w:sz w:val="24"/>
                <w:szCs w:val="24"/>
                <w:color w:val="auto"/>
              </w:rPr>
            </w:pPr>
          </w:p>
        </w:tc>
        <w:tc>
          <w:tcPr>
            <w:tcW w:w="360" w:type="dxa"/>
            <w:vAlign w:val="bottom"/>
            <w:shd w:val="clear" w:color="auto" w:fill="E3E3E3"/>
          </w:tcPr>
          <w:p>
            <w:pPr>
              <w:spacing w:after="0"/>
              <w:rPr>
                <w:sz w:val="24"/>
                <w:szCs w:val="24"/>
                <w:color w:val="auto"/>
              </w:rPr>
            </w:pPr>
          </w:p>
        </w:tc>
        <w:tc>
          <w:tcPr>
            <w:tcW w:w="1180" w:type="dxa"/>
            <w:vAlign w:val="bottom"/>
            <w:shd w:val="clear" w:color="auto" w:fill="E3E3E3"/>
          </w:tcPr>
          <w:p>
            <w:pPr>
              <w:spacing w:after="0"/>
              <w:rPr>
                <w:sz w:val="24"/>
                <w:szCs w:val="24"/>
                <w:color w:val="auto"/>
              </w:rPr>
            </w:pPr>
          </w:p>
        </w:tc>
        <w:tc>
          <w:tcPr>
            <w:tcW w:w="100" w:type="dxa"/>
            <w:vAlign w:val="bottom"/>
            <w:shd w:val="clear" w:color="auto" w:fill="E3E3E3"/>
          </w:tcPr>
          <w:p>
            <w:pPr>
              <w:spacing w:after="0"/>
              <w:rPr>
                <w:sz w:val="24"/>
                <w:szCs w:val="24"/>
                <w:color w:val="auto"/>
              </w:rPr>
            </w:pPr>
          </w:p>
        </w:tc>
        <w:tc>
          <w:tcPr>
            <w:tcW w:w="1000" w:type="dxa"/>
            <w:vAlign w:val="bottom"/>
            <w:shd w:val="clear" w:color="auto" w:fill="E3E3E3"/>
          </w:tcPr>
          <w:p>
            <w:pPr>
              <w:spacing w:after="0"/>
              <w:rPr>
                <w:sz w:val="24"/>
                <w:szCs w:val="24"/>
                <w:color w:val="auto"/>
              </w:rPr>
            </w:pPr>
          </w:p>
        </w:tc>
        <w:tc>
          <w:tcPr>
            <w:tcW w:w="540" w:type="dxa"/>
            <w:vAlign w:val="bottom"/>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6"/>
                <w:szCs w:val="16"/>
                <w:color w:val="auto"/>
              </w:rPr>
              <w:t>Net income per share, basic</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E3E3E3"/>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3E3E3"/>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92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6"/>
                <w:szCs w:val="16"/>
                <w:color w:val="auto"/>
              </w:rPr>
              <w:t>Net income per share, diluted</w:t>
            </w:r>
          </w:p>
        </w:tc>
        <w:tc>
          <w:tcPr>
            <w:tcW w:w="300" w:type="dxa"/>
            <w:vAlign w:val="bottom"/>
            <w:tcBorders>
              <w:bottom w:val="single" w:sz="8" w:color="auto"/>
            </w:tcBorders>
            <w:shd w:val="clear" w:color="auto" w:fill="E3E3E3"/>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E3E3E3"/>
            </w:tcBorders>
            <w:shd w:val="clear" w:color="auto" w:fill="E3E3E3"/>
          </w:tcPr>
          <w:p>
            <w:pPr>
              <w:spacing w:after="0"/>
              <w:rPr>
                <w:sz w:val="22"/>
                <w:szCs w:val="22"/>
                <w:color w:val="auto"/>
              </w:rPr>
            </w:pPr>
          </w:p>
        </w:tc>
        <w:tc>
          <w:tcPr>
            <w:tcW w:w="980" w:type="dxa"/>
            <w:vAlign w:val="bottom"/>
            <w:tcBorders>
              <w:bottom w:val="single" w:sz="8" w:color="auto"/>
            </w:tcBorders>
            <w:shd w:val="clear" w:color="auto" w:fill="E3E3E3"/>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E3E3E3"/>
            </w:tcBorders>
            <w:shd w:val="clear" w:color="auto" w:fill="E3E3E3"/>
          </w:tcPr>
          <w:p>
            <w:pPr>
              <w:spacing w:after="0"/>
              <w:rPr>
                <w:sz w:val="22"/>
                <w:szCs w:val="22"/>
                <w:color w:val="auto"/>
              </w:rPr>
            </w:pPr>
          </w:p>
        </w:tc>
        <w:tc>
          <w:tcPr>
            <w:tcW w:w="36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E3E3E3"/>
            </w:tcBorders>
            <w:shd w:val="clear" w:color="auto" w:fill="E3E3E3"/>
          </w:tcPr>
          <w:p>
            <w:pPr>
              <w:spacing w:after="0"/>
              <w:rPr>
                <w:sz w:val="22"/>
                <w:szCs w:val="22"/>
                <w:color w:val="auto"/>
              </w:rPr>
            </w:pPr>
          </w:p>
        </w:tc>
        <w:tc>
          <w:tcPr>
            <w:tcW w:w="1000" w:type="dxa"/>
            <w:vAlign w:val="bottom"/>
            <w:tcBorders>
              <w:bottom w:val="single" w:sz="8" w:color="auto"/>
            </w:tcBorders>
            <w:shd w:val="clear" w:color="auto" w:fill="E3E3E3"/>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
        </w:trPr>
        <w:tc>
          <w:tcPr>
            <w:tcW w:w="4920" w:type="dxa"/>
            <w:vAlign w:val="bottom"/>
            <w:tcBorders>
              <w:top w:val="single" w:sz="8" w:color="E3E3E3"/>
            </w:tcBorders>
          </w:tcPr>
          <w:p>
            <w:pPr>
              <w:spacing w:after="0" w:line="20" w:lineRule="exact"/>
              <w:rPr>
                <w:sz w:val="1"/>
                <w:szCs w:val="1"/>
                <w:color w:val="auto"/>
              </w:rPr>
            </w:pPr>
          </w:p>
        </w:tc>
        <w:tc>
          <w:tcPr>
            <w:tcW w:w="300" w:type="dxa"/>
            <w:vAlign w:val="bottom"/>
            <w:tcBorders>
              <w:top w:val="single" w:sz="8" w:color="E3E3E3"/>
              <w:bottom w:val="single" w:sz="8" w:color="auto"/>
            </w:tcBorders>
          </w:tcPr>
          <w:p>
            <w:pPr>
              <w:spacing w:after="0" w:line="20" w:lineRule="exact"/>
              <w:rPr>
                <w:sz w:val="1"/>
                <w:szCs w:val="1"/>
                <w:color w:val="auto"/>
              </w:rPr>
            </w:pPr>
          </w:p>
        </w:tc>
        <w:tc>
          <w:tcPr>
            <w:tcW w:w="116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980" w:type="dxa"/>
            <w:vAlign w:val="bottom"/>
            <w:tcBorders>
              <w:top w:val="single" w:sz="8" w:color="E3E3E3"/>
              <w:bottom w:val="single" w:sz="8" w:color="auto"/>
            </w:tcBorders>
          </w:tcPr>
          <w:p>
            <w:pPr>
              <w:spacing w:after="0" w:line="20" w:lineRule="exact"/>
              <w:rPr>
                <w:sz w:val="1"/>
                <w:szCs w:val="1"/>
                <w:color w:val="auto"/>
              </w:rPr>
            </w:pPr>
          </w:p>
        </w:tc>
        <w:tc>
          <w:tcPr>
            <w:tcW w:w="48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360" w:type="dxa"/>
            <w:vAlign w:val="bottom"/>
            <w:tcBorders>
              <w:top w:val="single" w:sz="8" w:color="E3E3E3"/>
              <w:bottom w:val="single" w:sz="8" w:color="auto"/>
            </w:tcBorders>
          </w:tcPr>
          <w:p>
            <w:pPr>
              <w:spacing w:after="0" w:line="20" w:lineRule="exact"/>
              <w:rPr>
                <w:sz w:val="1"/>
                <w:szCs w:val="1"/>
                <w:color w:val="auto"/>
              </w:rPr>
            </w:pPr>
          </w:p>
        </w:tc>
        <w:tc>
          <w:tcPr>
            <w:tcW w:w="118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000" w:type="dxa"/>
            <w:vAlign w:val="bottom"/>
            <w:tcBorders>
              <w:top w:val="single" w:sz="8" w:color="E3E3E3"/>
              <w:bottom w:val="single" w:sz="8" w:color="auto"/>
            </w:tcBorders>
          </w:tcPr>
          <w:p>
            <w:pPr>
              <w:spacing w:after="0" w:line="20" w:lineRule="exact"/>
              <w:rPr>
                <w:sz w:val="1"/>
                <w:szCs w:val="1"/>
                <w:color w:val="auto"/>
              </w:rPr>
            </w:pPr>
          </w:p>
        </w:tc>
        <w:tc>
          <w:tcPr>
            <w:tcW w:w="540" w:type="dxa"/>
            <w:vAlign w:val="bottom"/>
            <w:tcBorders>
              <w:top w:val="single" w:sz="8" w:color="E3E3E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following securities were excluded from the computation of diluted net income per share of common stock as their effect would have been antidilutive or issuance of such shares is contingent upon the satisfaction of certain conditions which were not satisfied by the end of the applicable period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spacing w:after="0"/>
              <w:rPr>
                <w:sz w:val="17"/>
                <w:szCs w:val="17"/>
                <w:color w:val="auto"/>
              </w:rPr>
            </w:pPr>
          </w:p>
        </w:tc>
        <w:tc>
          <w:tcPr>
            <w:tcW w:w="25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Three Months Ended April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Nine Months Ended April 30,</w:t>
            </w:r>
          </w:p>
        </w:tc>
        <w:tc>
          <w:tcPr>
            <w:tcW w:w="480" w:type="dxa"/>
            <w:vAlign w:val="bottom"/>
            <w:tcBorders>
              <w:bottom w:val="single" w:sz="8" w:color="auto"/>
            </w:tcBorders>
          </w:tcPr>
          <w:p>
            <w:pPr>
              <w:spacing w:after="0"/>
              <w:rPr>
                <w:sz w:val="17"/>
                <w:szCs w:val="17"/>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3E3E3"/>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E3E3E3"/>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4980" w:type="dxa"/>
            <w:vAlign w:val="bottom"/>
            <w:shd w:val="clear" w:color="auto" w:fill="E3E3E3"/>
          </w:tcPr>
          <w:p>
            <w:pPr>
              <w:ind w:left="20"/>
              <w:spacing w:after="0"/>
              <w:rPr>
                <w:sz w:val="20"/>
                <w:szCs w:val="20"/>
                <w:color w:val="auto"/>
              </w:rPr>
            </w:pPr>
            <w:r>
              <w:rPr>
                <w:rFonts w:ascii="Arial" w:cs="Arial" w:eastAsia="Arial" w:hAnsi="Arial"/>
                <w:sz w:val="16"/>
                <w:szCs w:val="16"/>
                <w:color w:val="auto"/>
              </w:rPr>
              <w:t>Employee equity incentive plans</w:t>
            </w:r>
          </w:p>
        </w:tc>
        <w:tc>
          <w:tcPr>
            <w:tcW w:w="144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2.4</w:t>
            </w:r>
          </w:p>
        </w:tc>
        <w:tc>
          <w:tcPr>
            <w:tcW w:w="100" w:type="dxa"/>
            <w:vAlign w:val="bottom"/>
            <w:shd w:val="clear" w:color="auto" w:fill="E3E3E3"/>
          </w:tcPr>
          <w:p>
            <w:pPr>
              <w:spacing w:after="0"/>
              <w:rPr>
                <w:sz w:val="21"/>
                <w:szCs w:val="21"/>
                <w:color w:val="auto"/>
              </w:rPr>
            </w:pPr>
          </w:p>
        </w:tc>
        <w:tc>
          <w:tcPr>
            <w:tcW w:w="1040" w:type="dxa"/>
            <w:vAlign w:val="bottom"/>
            <w:shd w:val="clear" w:color="auto" w:fill="E3E3E3"/>
          </w:tcPr>
          <w:p>
            <w:pPr>
              <w:spacing w:after="0"/>
              <w:rPr>
                <w:sz w:val="21"/>
                <w:szCs w:val="21"/>
                <w:color w:val="auto"/>
              </w:rPr>
            </w:pPr>
          </w:p>
        </w:tc>
        <w:tc>
          <w:tcPr>
            <w:tcW w:w="42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3.2</w:t>
            </w:r>
          </w:p>
        </w:tc>
        <w:tc>
          <w:tcPr>
            <w:tcW w:w="100" w:type="dxa"/>
            <w:vAlign w:val="bottom"/>
            <w:shd w:val="clear" w:color="auto" w:fill="E3E3E3"/>
          </w:tcPr>
          <w:p>
            <w:pPr>
              <w:spacing w:after="0"/>
              <w:rPr>
                <w:sz w:val="21"/>
                <w:szCs w:val="21"/>
                <w:color w:val="auto"/>
              </w:rPr>
            </w:pPr>
          </w:p>
        </w:tc>
        <w:tc>
          <w:tcPr>
            <w:tcW w:w="15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E3E3E3"/>
          </w:tcPr>
          <w:p>
            <w:pPr>
              <w:spacing w:after="0"/>
              <w:rPr>
                <w:sz w:val="21"/>
                <w:szCs w:val="21"/>
                <w:color w:val="auto"/>
              </w:rPr>
            </w:pPr>
          </w:p>
        </w:tc>
        <w:tc>
          <w:tcPr>
            <w:tcW w:w="1040" w:type="dxa"/>
            <w:vAlign w:val="bottom"/>
            <w:shd w:val="clear" w:color="auto" w:fill="E3E3E3"/>
          </w:tcPr>
          <w:p>
            <w:pPr>
              <w:spacing w:after="0"/>
              <w:rPr>
                <w:sz w:val="21"/>
                <w:szCs w:val="21"/>
                <w:color w:val="auto"/>
              </w:rPr>
            </w:pPr>
          </w:p>
        </w:tc>
        <w:tc>
          <w:tcPr>
            <w:tcW w:w="48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Other Income, Net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other income, net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April 30,</w:t>
            </w:r>
          </w:p>
        </w:tc>
        <w:tc>
          <w:tcPr>
            <w:tcW w:w="540" w:type="dxa"/>
            <w:vAlign w:val="bottom"/>
            <w:tcBorders>
              <w:bottom w:val="single" w:sz="8" w:color="auto"/>
            </w:tcBorders>
          </w:tcPr>
          <w:p>
            <w:pPr>
              <w:spacing w:after="0"/>
              <w:rPr>
                <w:sz w:val="17"/>
                <w:szCs w:val="17"/>
                <w:color w:val="auto"/>
              </w:rPr>
            </w:pPr>
          </w:p>
        </w:tc>
      </w:tr>
      <w:tr>
        <w:trPr>
          <w:trHeight w:val="223"/>
        </w:trPr>
        <w:tc>
          <w:tcPr>
            <w:tcW w:w="4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E3E3E3"/>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3E3E3"/>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4940" w:type="dxa"/>
            <w:vAlign w:val="bottom"/>
            <w:shd w:val="clear" w:color="auto" w:fill="E3E3E3"/>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E3E3E3"/>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E3E3E3"/>
          </w:tcPr>
          <w:p>
            <w:pPr>
              <w:spacing w:after="0"/>
              <w:rPr>
                <w:sz w:val="21"/>
                <w:szCs w:val="21"/>
                <w:color w:val="auto"/>
              </w:rPr>
            </w:pPr>
          </w:p>
        </w:tc>
        <w:tc>
          <w:tcPr>
            <w:tcW w:w="36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234.8</w:t>
            </w:r>
          </w:p>
        </w:tc>
        <w:tc>
          <w:tcPr>
            <w:tcW w:w="100" w:type="dxa"/>
            <w:vAlign w:val="bottom"/>
            <w:shd w:val="clear" w:color="auto" w:fill="E3E3E3"/>
          </w:tcPr>
          <w:p>
            <w:pPr>
              <w:spacing w:after="0"/>
              <w:rPr>
                <w:sz w:val="21"/>
                <w:szCs w:val="21"/>
                <w:color w:val="auto"/>
              </w:rPr>
            </w:pPr>
          </w:p>
        </w:tc>
        <w:tc>
          <w:tcPr>
            <w:tcW w:w="1000" w:type="dxa"/>
            <w:vAlign w:val="bottom"/>
            <w:shd w:val="clear" w:color="auto" w:fill="E3E3E3"/>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151.9</w:t>
            </w:r>
          </w:p>
        </w:tc>
      </w:tr>
      <w:tr>
        <w:trPr>
          <w:trHeight w:val="235"/>
        </w:trPr>
        <w:tc>
          <w:tcPr>
            <w:tcW w:w="4940" w:type="dxa"/>
            <w:vAlign w:val="bottom"/>
          </w:tcPr>
          <w:p>
            <w:pPr>
              <w:ind w:left="20"/>
              <w:spacing w:after="0"/>
              <w:rPr>
                <w:sz w:val="20"/>
                <w:szCs w:val="20"/>
                <w:color w:val="auto"/>
              </w:rPr>
            </w:pPr>
            <w:r>
              <w:rPr>
                <w:rFonts w:ascii="Arial" w:cs="Arial" w:eastAsia="Arial" w:hAnsi="Arial"/>
                <w:sz w:val="16"/>
                <w:szCs w:val="16"/>
                <w:color w:val="auto"/>
              </w:rPr>
              <w:t>Foreign currency exchange gains (losses), net</w:t>
            </w:r>
          </w:p>
        </w:tc>
        <w:tc>
          <w:tcPr>
            <w:tcW w:w="30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44"/>
        </w:trPr>
        <w:tc>
          <w:tcPr>
            <w:tcW w:w="494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E3E3E3"/>
          </w:tcPr>
          <w:p>
            <w:pPr>
              <w:spacing w:after="0"/>
              <w:rPr>
                <w:sz w:val="21"/>
                <w:szCs w:val="21"/>
                <w:color w:val="auto"/>
              </w:rPr>
            </w:pPr>
          </w:p>
        </w:tc>
        <w:tc>
          <w:tcPr>
            <w:tcW w:w="11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spacing w:after="0"/>
              <w:rPr>
                <w:sz w:val="21"/>
                <w:szCs w:val="21"/>
                <w:color w:val="auto"/>
              </w:rPr>
            </w:pPr>
          </w:p>
        </w:tc>
        <w:tc>
          <w:tcPr>
            <w:tcW w:w="4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E3E3E3"/>
          </w:tcPr>
          <w:p>
            <w:pPr>
              <w:spacing w:after="0"/>
              <w:rPr>
                <w:sz w:val="21"/>
                <w:szCs w:val="21"/>
                <w:color w:val="auto"/>
              </w:rPr>
            </w:pPr>
          </w:p>
        </w:tc>
        <w:tc>
          <w:tcPr>
            <w:tcW w:w="36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E3E3E3"/>
          </w:tcPr>
          <w:p>
            <w:pPr>
              <w:spacing w:after="0"/>
              <w:rPr>
                <w:sz w:val="21"/>
                <w:szCs w:val="21"/>
                <w:color w:val="auto"/>
              </w:rPr>
            </w:pPr>
          </w:p>
        </w:tc>
        <w:tc>
          <w:tcPr>
            <w:tcW w:w="1000" w:type="dxa"/>
            <w:vAlign w:val="bottom"/>
            <w:tcBorders>
              <w:bottom w:val="single" w:sz="8" w:color="auto"/>
            </w:tcBorders>
            <w:shd w:val="clear" w:color="auto" w:fill="E3E3E3"/>
          </w:tcPr>
          <w:p>
            <w:pPr>
              <w:spacing w:after="0"/>
              <w:rPr>
                <w:sz w:val="21"/>
                <w:szCs w:val="21"/>
                <w:color w:val="auto"/>
              </w:rPr>
            </w:pPr>
          </w:p>
        </w:tc>
        <w:tc>
          <w:tcPr>
            <w:tcW w:w="5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(9.3)</w:t>
            </w:r>
          </w:p>
        </w:tc>
      </w:tr>
      <w:tr>
        <w:trPr>
          <w:trHeight w:val="243"/>
        </w:trPr>
        <w:tc>
          <w:tcPr>
            <w:tcW w:w="4940" w:type="dxa"/>
            <w:vAlign w:val="bottom"/>
          </w:tcPr>
          <w:p>
            <w:pPr>
              <w:ind w:left="240"/>
              <w:spacing w:after="0"/>
              <w:rPr>
                <w:sz w:val="20"/>
                <w:szCs w:val="20"/>
                <w:color w:val="auto"/>
              </w:rPr>
            </w:pPr>
            <w:r>
              <w:rPr>
                <w:rFonts w:ascii="Arial" w:cs="Arial" w:eastAsia="Arial" w:hAnsi="Arial"/>
                <w:sz w:val="16"/>
                <w:szCs w:val="16"/>
                <w:color w:val="auto"/>
              </w:rPr>
              <w:t>Total other income,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137.5</w:t>
            </w: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2025 Notes Conversion</w:t>
      </w:r>
    </w:p>
    <w:p>
      <w:pPr>
        <w:spacing w:after="0" w:line="12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Subsequent to April 30, 2024, $123.2 million in aggregate principal amount of the 2025 Notes was converted or had been submitted by the holders for conversion and will settle during the fiscal quarter ending July 31, 2024.</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w:t>
      </w:r>
    </w:p>
    <w:p>
      <w:pPr>
        <w:spacing w:after="0" w:line="12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On May 15, 2024, we entered into a definitive agreement with International Business Machines Corporation to acquire certain QRadar assets including intellectual property, customer relationships, and customer contracts. We agreed to pay $500.0 million in cash upon closing, and may make additional post-closing payments contingent upon the migration of QRadar on-premise customers to Cortex XSIAM through December 31, 2027. We expect the acquisition will help accelerate the growth of our Cortex XSIAM platform.</w:t>
      </w:r>
    </w:p>
    <w:p>
      <w:pPr>
        <w:spacing w:after="0" w:line="65"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proposed acquisition is expected to close during our first quarter of fiscal 2025, subject to the satisfaction of regulatory approvals and other customary closing conditions.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20"/>
        <w:spacing w:after="0" w:line="285" w:lineRule="auto"/>
        <w:rPr>
          <w:sz w:val="20"/>
          <w:szCs w:val="20"/>
          <w:color w:val="auto"/>
        </w:rPr>
      </w:pPr>
      <w:r>
        <w:rPr>
          <w:rFonts w:ascii="Arial" w:cs="Arial" w:eastAsia="Arial" w:hAnsi="Arial"/>
          <w:sz w:val="36"/>
          <w:szCs w:val="36"/>
          <w:b w:val="1"/>
          <w:bCs w:val="1"/>
          <w:color w:val="auto"/>
        </w:rPr>
        <w:t>Item 2. Management’s Discussion and Analysis of Financial Condition and Results of Operations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This Quarterly Report on Form 10-Q, including, without limitation, the following discussion and analysis, contains forward-looking statements within the meaning of Section 27A of the Securities Act of 1933 and Section 21E of the Securities Exchange Act of 1934. These statements include, but are not limited to, statements concerning: the cybersecurity landscape, our expectations regarding our platformization strategy and related progress and opportunities, long-term expectations regarding annual recurring revenue, product development strategy and expectations regarding artificial intelligence, expectations regarding our strategic partnerships, our expectations regarding drivers of and factors affecting growth in our business; statements regarding expected profitability, trends in billing, our mix of product and subscription and support revenue, cost of revenue, gross margin, cash flows, operating expenses, including future share-based compensation expense, income taxes, investment plans, and liquidity; expected recurring revenues resulting from growth in our end-customers and increased adoption of our products and cloud-delivered security solutions; the performance advantages of our products and subscription and support offerings and the potential benefits to our customers; our expectations regarding future investments in research and development and product development, customer support, in our employees and in our sales force, including expectations regarding growth in our sales headcount; our expectation that we will continue to expand our global presence; expectations regarding our revenues, including the seasonality and cyclicality from quarter to quarter; our expectation that we will increase our customer financing activities; the sufficiency of our cash flow from operations with existing cash, cash equivalents, and investments to meet our cash needs for the foreseeable future; our ability to successfully acquire and integrate companies and assets and our expectations and intentions with respect to the products and technologies that we acquire and introduce; the timing and amount of capital expenditures and share repurchases; the effects of worldwide economic and geopolitical conditions, including but not limited to hostilities in Israel, inflation, interest rate levels, growth rates and other conditions, on our operating and financial results and performance; the manufacture, delivery and cost of certain of our products; the effects of current or potential litigation or regulatory developments involving us or affecting our industry; and other statements regarding our future operations, financial condition and prospects, and business strategies. Forward-looking statements generally can be identified by words such as “anticipate,” “believe,” “continue,” “could,” “estimate,” “expect,” “intend,” “may,” “plan,” “potentially,” “projects,” “will,” “will be,” “will continue,” “will likely result,” “would” and similar expressions that convey uncertainty of future events or outcomes. These forward-looking statements are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Quarterly Report on Form 10-Q and, in particular, the risks discussed under the caption “Risk Factors” in Part II, Item 1A of this report and those discussed in other documents we file with the Securities and Exchange Commission (“SEC”).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Our Management’s Discussion and Analysis of Financial Condition and Results of Operations (“MD&amp;A”) is organized as follows:</w:t>
      </w:r>
    </w:p>
    <w:p>
      <w:pPr>
        <w:spacing w:after="0" w:line="12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A discussion of our business and overall analysis of financial and other highlights in order to provide context for the remainder of MD&amp;A.</w:t>
      </w:r>
    </w:p>
    <w:p>
      <w:pPr>
        <w:spacing w:after="0" w:line="113" w:lineRule="exact"/>
        <w:rPr>
          <w:rFonts w:ascii="Arial" w:cs="Arial" w:eastAsia="Arial" w:hAnsi="Arial"/>
          <w:sz w:val="16"/>
          <w:szCs w:val="16"/>
          <w:b w:val="1"/>
          <w:bCs w:val="1"/>
          <w:i w:val="1"/>
          <w:iCs w:val="1"/>
          <w:color w:val="E64B38"/>
        </w:rPr>
      </w:pPr>
    </w:p>
    <w:p>
      <w:pPr>
        <w:ind w:left="180" w:hanging="172"/>
        <w:spacing w:after="0"/>
        <w:tabs>
          <w:tab w:leader="none" w:pos="180" w:val="left"/>
        </w:tabs>
        <w:numPr>
          <w:ilvl w:val="0"/>
          <w:numId w:val="10"/>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Key Financial Metrics. </w:t>
      </w:r>
      <w:r>
        <w:rPr>
          <w:rFonts w:ascii="Arial" w:cs="Arial" w:eastAsia="Arial" w:hAnsi="Arial"/>
          <w:sz w:val="16"/>
          <w:szCs w:val="16"/>
          <w:color w:val="auto"/>
        </w:rPr>
        <w:t>A summary of our U.S. GAAP and non-GAAP key financial metrics, which management monitors to evaluate our performance.</w:t>
      </w:r>
    </w:p>
    <w:p>
      <w:pPr>
        <w:spacing w:after="0" w:line="113" w:lineRule="exact"/>
        <w:rPr>
          <w:rFonts w:ascii="Arial" w:cs="Arial" w:eastAsia="Arial" w:hAnsi="Arial"/>
          <w:sz w:val="16"/>
          <w:szCs w:val="16"/>
          <w:b w:val="1"/>
          <w:bCs w:val="1"/>
          <w:i w:val="1"/>
          <w:iCs w:val="1"/>
          <w:color w:val="E64B38"/>
        </w:rPr>
      </w:pPr>
    </w:p>
    <w:p>
      <w:pPr>
        <w:ind w:left="200" w:right="20" w:hanging="192"/>
        <w:spacing w:after="0" w:line="304" w:lineRule="auto"/>
        <w:tabs>
          <w:tab w:leader="none" w:pos="184" w:val="left"/>
        </w:tabs>
        <w:numPr>
          <w:ilvl w:val="0"/>
          <w:numId w:val="10"/>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A discussion of the nature and trends in our financial results and an analysis of our financial results comparing the three and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April 30, 2024 to the three and nine months ended April 30, 2023.</w:t>
      </w:r>
    </w:p>
    <w:p>
      <w:pPr>
        <w:spacing w:after="0" w:line="33" w:lineRule="exact"/>
        <w:rPr>
          <w:rFonts w:ascii="Arial" w:cs="Arial" w:eastAsia="Arial" w:hAnsi="Arial"/>
          <w:sz w:val="16"/>
          <w:szCs w:val="16"/>
          <w:b w:val="1"/>
          <w:bCs w:val="1"/>
          <w:i w:val="1"/>
          <w:iCs w:val="1"/>
          <w:color w:val="E64B38"/>
        </w:rPr>
      </w:pPr>
    </w:p>
    <w:p>
      <w:pPr>
        <w:ind w:left="200" w:right="360" w:hanging="192"/>
        <w:spacing w:after="0" w:line="304" w:lineRule="auto"/>
        <w:tabs>
          <w:tab w:leader="none" w:pos="184" w:val="left"/>
        </w:tabs>
        <w:numPr>
          <w:ilvl w:val="0"/>
          <w:numId w:val="10"/>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Liquidity and Capital Resources. </w:t>
      </w:r>
      <w:r>
        <w:rPr>
          <w:rFonts w:ascii="Arial" w:cs="Arial" w:eastAsia="Arial" w:hAnsi="Arial"/>
          <w:sz w:val="16"/>
          <w:szCs w:val="16"/>
          <w:color w:val="auto"/>
        </w:rPr>
        <w:t>An analysis of changes on our balance sheets and cash flows, and a discussion of our financial condition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meet cash needs.</w:t>
      </w:r>
    </w:p>
    <w:p>
      <w:pPr>
        <w:spacing w:after="0" w:line="33" w:lineRule="exact"/>
        <w:rPr>
          <w:rFonts w:ascii="Arial" w:cs="Arial" w:eastAsia="Arial" w:hAnsi="Arial"/>
          <w:sz w:val="16"/>
          <w:szCs w:val="16"/>
          <w:b w:val="1"/>
          <w:bCs w:val="1"/>
          <w:i w:val="1"/>
          <w:iCs w:val="1"/>
          <w:color w:val="E64B38"/>
        </w:rPr>
      </w:pPr>
    </w:p>
    <w:p>
      <w:pPr>
        <w:ind w:left="180" w:hanging="172"/>
        <w:spacing w:after="0"/>
        <w:tabs>
          <w:tab w:leader="none" w:pos="180" w:val="left"/>
        </w:tabs>
        <w:numPr>
          <w:ilvl w:val="0"/>
          <w:numId w:val="10"/>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Critical Accounting Estimates. </w:t>
      </w:r>
      <w:r>
        <w:rPr>
          <w:rFonts w:ascii="Arial" w:cs="Arial" w:eastAsia="Arial" w:hAnsi="Arial"/>
          <w:sz w:val="16"/>
          <w:szCs w:val="16"/>
          <w:color w:val="auto"/>
        </w:rPr>
        <w:t>A discussion of our accounting policies that require critical estimates, assumptions, and judgments.</w:t>
      </w:r>
    </w:p>
    <w:p>
      <w:pPr>
        <w:spacing w:after="0" w:line="113" w:lineRule="exact"/>
        <w:rPr>
          <w:rFonts w:ascii="Arial" w:cs="Arial" w:eastAsia="Arial" w:hAnsi="Arial"/>
          <w:sz w:val="16"/>
          <w:szCs w:val="16"/>
          <w:b w:val="1"/>
          <w:bCs w:val="1"/>
          <w:i w:val="1"/>
          <w:iCs w:val="1"/>
          <w:color w:val="E64B38"/>
        </w:rPr>
      </w:pPr>
    </w:p>
    <w:p>
      <w:pPr>
        <w:ind w:left="200" w:right="20" w:hanging="192"/>
        <w:spacing w:after="0" w:line="304" w:lineRule="auto"/>
        <w:tabs>
          <w:tab w:leader="none" w:pos="184" w:val="left"/>
        </w:tabs>
        <w:numPr>
          <w:ilvl w:val="0"/>
          <w:numId w:val="10"/>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A discussion of expected impacts of impending accounting changes on financial information to be reported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w:t>
      </w:r>
    </w:p>
    <w:p>
      <w:pPr>
        <w:spacing w:after="0" w:line="384" w:lineRule="exact"/>
        <w:rPr>
          <w:rFonts w:ascii="Arial" w:cs="Arial" w:eastAsia="Arial" w:hAnsi="Arial"/>
          <w:sz w:val="16"/>
          <w:szCs w:val="16"/>
          <w:b w:val="1"/>
          <w:bCs w:val="1"/>
          <w:i w:val="1"/>
          <w:iCs w:val="1"/>
          <w:color w:val="E64B38"/>
        </w:rPr>
      </w:pPr>
    </w:p>
    <w:p>
      <w:pPr>
        <w:ind w:left="5540" w:hanging="105"/>
        <w:spacing w:after="0"/>
        <w:tabs>
          <w:tab w:leader="none" w:pos="5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Overview</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empower enterprises, organizations, service providers, and government entities to protect themselves against today’s most sophisticated cyber threats. Our cybersecurity platforms and services help secure enterprise users, networks, clouds, and endpoints by delivering comprehensive cybersecurity backed by industry-leading artificial intelligence and automation. We are a leading provider of zero trust solutions, starting with next-generation zero trust network access to secure today’s remote hybrid workforces and extending to securing all users, applications, and infrastructure with zero trust principles. Our security solutions are designed to reduce customers’ total cost of ownership by improving operational efficiency and eliminating the need for siloed point products. Our company focuses on delivering value in four fundamental areas: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Network Security:</w:t>
      </w:r>
    </w:p>
    <w:p>
      <w:pPr>
        <w:spacing w:after="0" w:line="127" w:lineRule="exact"/>
        <w:rPr>
          <w:sz w:val="20"/>
          <w:szCs w:val="20"/>
          <w:color w:val="auto"/>
        </w:rPr>
      </w:pPr>
    </w:p>
    <w:p>
      <w:pPr>
        <w:ind w:left="200" w:right="80" w:hanging="192"/>
        <w:spacing w:after="0" w:line="233" w:lineRule="auto"/>
        <w:tabs>
          <w:tab w:leader="none" w:pos="184" w:val="left"/>
        </w:tabs>
        <w:numPr>
          <w:ilvl w:val="0"/>
          <w:numId w:val="11"/>
        </w:numPr>
        <w:rPr>
          <w:rFonts w:ascii="Arial" w:cs="Arial" w:eastAsia="Arial" w:hAnsi="Arial"/>
          <w:sz w:val="16"/>
          <w:szCs w:val="16"/>
          <w:b w:val="1"/>
          <w:bCs w:val="1"/>
          <w:color w:val="E64B38"/>
        </w:rPr>
      </w:pPr>
      <w:r>
        <w:rPr>
          <w:rFonts w:ascii="Arial" w:cs="Arial" w:eastAsia="Arial" w:hAnsi="Arial"/>
          <w:sz w:val="16"/>
          <w:szCs w:val="16"/>
          <w:color w:val="auto"/>
        </w:rPr>
        <w:t>Our network security platform, designed to deliver complete zero trust solutions to our customers, includes our hardware and software ML-Powered Next-Generation Firewalls, as well as a cloud-delivered Secure Access Service Edge (“SASE”). Prisma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Access, our Security Services Edge (“SSE”) solution, when combined with Prisma SD-WAN, provides a comprehensive single-vendor SASE offering that is used to secure remote workforces and securely enable the cloud-delivered branch. We have been recognized as a leader in network firewalls, SASE, SSE, and SD-WAN. Our network security platform also includes our cloud-delivered security services, such as Advanced Threat Prevention, Advanced WildFire</w:t>
      </w:r>
      <w:r>
        <w:rPr>
          <w:rFonts w:ascii="Arial" w:cs="Arial" w:eastAsia="Arial" w:hAnsi="Arial"/>
          <w:sz w:val="21"/>
          <w:szCs w:val="21"/>
          <w:color w:val="auto"/>
          <w:vertAlign w:val="superscript"/>
        </w:rPr>
        <w:t>®</w:t>
      </w:r>
      <w:r>
        <w:rPr>
          <w:rFonts w:ascii="Arial" w:cs="Arial" w:eastAsia="Arial" w:hAnsi="Arial"/>
          <w:sz w:val="16"/>
          <w:szCs w:val="16"/>
          <w:color w:val="auto"/>
        </w:rPr>
        <w:t>, Advanced URL Filtering, Advanced DNS Security, IoT/OT Security, GlobalProtect</w:t>
      </w:r>
      <w:r>
        <w:rPr>
          <w:rFonts w:ascii="Arial" w:cs="Arial" w:eastAsia="Arial" w:hAnsi="Arial"/>
          <w:sz w:val="21"/>
          <w:szCs w:val="21"/>
          <w:color w:val="auto"/>
          <w:vertAlign w:val="superscript"/>
        </w:rPr>
        <w:t>®</w:t>
      </w:r>
      <w:r>
        <w:rPr>
          <w:rFonts w:ascii="Arial" w:cs="Arial" w:eastAsia="Arial" w:hAnsi="Arial"/>
          <w:sz w:val="16"/>
          <w:szCs w:val="16"/>
          <w:color w:val="auto"/>
        </w:rPr>
        <w:t>, Enterprise Data Loss Prevention (“Enterprise DLP”), Artificial Intelligence for IT Operations (“AIOps”), SaaS Security API, SaaS Security Inline, and Artificial Intelligence (“AI”) Access Security. Through these add-on security services, our customers are able to secure their content, applications, users, and devices across their entire organization. Strata Cloud Manager, our network security management solution, can centrally manage our network security platform irrespective of form factor, location, or scale. Strata Cloud Manager includes the Strata Copilot which provides a natural language interface to simplify and accelerate platform management.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Cloud Security:</w:t>
      </w:r>
    </w:p>
    <w:p>
      <w:pPr>
        <w:spacing w:after="0" w:line="113" w:lineRule="exact"/>
        <w:rPr>
          <w:sz w:val="20"/>
          <w:szCs w:val="20"/>
          <w:color w:val="auto"/>
        </w:rPr>
      </w:pPr>
    </w:p>
    <w:p>
      <w:pPr>
        <w:ind w:left="200" w:right="60" w:hanging="192"/>
        <w:spacing w:after="0"/>
        <w:tabs>
          <w:tab w:leader="none" w:pos="184" w:val="left"/>
        </w:tabs>
        <w:numPr>
          <w:ilvl w:val="0"/>
          <w:numId w:val="12"/>
        </w:numPr>
        <w:rPr>
          <w:rFonts w:ascii="Arial" w:cs="Arial" w:eastAsia="Arial" w:hAnsi="Arial"/>
          <w:sz w:val="16"/>
          <w:szCs w:val="16"/>
          <w:b w:val="1"/>
          <w:bCs w:val="1"/>
          <w:color w:val="E64B38"/>
        </w:rPr>
      </w:pPr>
      <w:r>
        <w:rPr>
          <w:rFonts w:ascii="Arial" w:cs="Arial" w:eastAsia="Arial" w:hAnsi="Arial"/>
          <w:sz w:val="16"/>
          <w:szCs w:val="16"/>
          <w:color w:val="auto"/>
        </w:rPr>
        <w:t>We enable cloud-native security through our Prisma Cloud Code to Cloud</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As a comprehensive Cloud Native Application Protection Platform (“CNAPP”), Prisma Cloud secures multi- and hybrid-cloud environments for applications, data, and the entire cloud native technology stack across the full development lifecycle, from code to cloud. We also offer our VM-Series and CN-Series virtual firewalls for inline network security on multi- and hybrid-cloud environments.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Security Operations:</w:t>
      </w:r>
    </w:p>
    <w:p>
      <w:pPr>
        <w:spacing w:after="0" w:line="113" w:lineRule="exact"/>
        <w:rPr>
          <w:sz w:val="20"/>
          <w:szCs w:val="20"/>
          <w:color w:val="auto"/>
        </w:rPr>
      </w:pPr>
    </w:p>
    <w:p>
      <w:pPr>
        <w:ind w:left="200" w:right="120" w:hanging="192"/>
        <w:spacing w:after="0" w:line="224" w:lineRule="auto"/>
        <w:tabs>
          <w:tab w:leader="none" w:pos="184" w:val="left"/>
        </w:tabs>
        <w:numPr>
          <w:ilvl w:val="0"/>
          <w:numId w:val="13"/>
        </w:numPr>
        <w:rPr>
          <w:rFonts w:ascii="Arial" w:cs="Arial" w:eastAsia="Arial" w:hAnsi="Arial"/>
          <w:sz w:val="16"/>
          <w:szCs w:val="16"/>
          <w:b w:val="1"/>
          <w:bCs w:val="1"/>
          <w:color w:val="E64B38"/>
        </w:rPr>
      </w:pPr>
      <w:r>
        <w:rPr>
          <w:rFonts w:ascii="Arial" w:cs="Arial" w:eastAsia="Arial" w:hAnsi="Arial"/>
          <w:sz w:val="16"/>
          <w:szCs w:val="16"/>
          <w:color w:val="auto"/>
        </w:rPr>
        <w:t>We deliver the next generation of security automation, security analytics, endpoint security, and attack surface management solutions through our Cortex portfolio. These include Cortex XSIAM, our AI-driven security operations platform, Cortex XDR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prevention, detection, and response to complex cybersecurity attacks, Cortex XSOAR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security orchestration, automation, and response (“SOAR”), and Cortex Xpanse</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for attack surface management (“ASM”). These products are delivered as SaaS or software subscriptions.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Threat Intelligence and Advisory Services (Unit 42):</w:t>
      </w:r>
    </w:p>
    <w:p>
      <w:pPr>
        <w:spacing w:after="0" w:line="127" w:lineRule="exact"/>
        <w:rPr>
          <w:sz w:val="20"/>
          <w:szCs w:val="20"/>
          <w:color w:val="auto"/>
        </w:rPr>
      </w:pPr>
    </w:p>
    <w:p>
      <w:pPr>
        <w:ind w:left="200" w:right="140" w:hanging="192"/>
        <w:spacing w:after="0" w:line="265" w:lineRule="auto"/>
        <w:tabs>
          <w:tab w:leader="none" w:pos="184" w:val="left"/>
        </w:tabs>
        <w:numPr>
          <w:ilvl w:val="0"/>
          <w:numId w:val="14"/>
        </w:numPr>
        <w:rPr>
          <w:rFonts w:ascii="Arial" w:cs="Arial" w:eastAsia="Arial" w:hAnsi="Arial"/>
          <w:sz w:val="16"/>
          <w:szCs w:val="16"/>
          <w:b w:val="1"/>
          <w:bCs w:val="1"/>
          <w:color w:val="E64B38"/>
        </w:rPr>
      </w:pPr>
      <w:r>
        <w:rPr>
          <w:rFonts w:ascii="Arial" w:cs="Arial" w:eastAsia="Arial" w:hAnsi="Arial"/>
          <w:sz w:val="16"/>
          <w:szCs w:val="16"/>
          <w:color w:val="auto"/>
        </w:rPr>
        <w:t>Unit 42 brings together world-renowned threat researchers with an elite team of incident responders and security consultants to create an intelligence-driven, response-ready organization to help customers manage cyber risk. Our consultants serve as trusted advisors to our customers by assessing and testing their security controls against the right threats, transforming their security strategy with a threat-informed approach, and responding to security incidents on behalf of our clients. Additionally, Unit 42 offers managed detection and response services and managed threat hunting services.</w:t>
      </w:r>
    </w:p>
    <w:p>
      <w:pPr>
        <w:spacing w:after="0" w:line="65"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For the third quarter of fiscal 2024 and 2023, total revenue was $2.0 billion and $1.7 billion, respectively, representing year-over-year growth of 15.3%. Our growth reflects the increased adoption of our portfolio, which consists of product, subscriptions, and support. We believe our portfolio will enable us to benefit from recurring revenues and new revenues as we continue to grow our end-customer base. As of April 30, 2024, we had end-customers in over</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180 countries. Our end-customers represent a broad range of industries, including education, energy, financial services, government entities, healthcare, Internet and media, manufacturing, public sector, and telecommunications, and include almost all of the Fortune 100 companies and a majority of the Global 2000 companies. We maintain a field sales force that works closely with our channel partners in developing sales opportunities. We primarily use a two-tiered, indirect fulfillment model whereby we sell our products, subscriptions, and support to our distributors, which, in turn, sell to our resellers, which then sell to our end-customers.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product revenue grew to $391.0 million, or 19.7% of total revenue, for the third quarter of fiscal 2024. Product revenue is derived from sales of our appliances, primarily our ML-Powered Next-Generation Firewall. Product revenue also includes revenue derived from software licenses of Panorama</w:t>
      </w:r>
      <w:r>
        <w:rPr>
          <w:rFonts w:ascii="Arial" w:cs="Arial" w:eastAsia="Arial" w:hAnsi="Arial"/>
          <w:sz w:val="21"/>
          <w:szCs w:val="21"/>
          <w:color w:val="auto"/>
          <w:vertAlign w:val="superscript"/>
        </w:rPr>
        <w:t>®</w:t>
      </w:r>
      <w:r>
        <w:rPr>
          <w:rFonts w:ascii="Arial" w:cs="Arial" w:eastAsia="Arial" w:hAnsi="Arial"/>
          <w:sz w:val="16"/>
          <w:szCs w:val="16"/>
          <w:color w:val="auto"/>
        </w:rPr>
        <w:t>, SD-WAN, and the VM-Series. Our ML-Powered Next-Generation Firewall incorporates our PAN-OS operating system, which provides a consistent set of capabilities across our entire network security product line. Our appliances and software licenses include a broad set of built-in networking and security features and functionalities. Our products are designed for different performance requirements throughout an organization, ranging from our PA-410, which is designed for small organizations and remote or branch offices, to our top-of-the-line PA-7500, which is designed for large-scale data centers and service provider use. The same firewall functionality that is delivered in our physical appliances is also available in our VM-Series virtual firewalls, which secure virtualized and cloud-based computing environments, and in our CN-Series container firewalls, which secure container environments and traffic.</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subscription and support revenue grew to $1.6 billion, or 80.3% of total revenue, for the third quarter of fiscal 2024, representing year-over-year growth of 19.6%. Our subscriptions provide our end-customers with near real-time access to the latest antivirus, intrusion prevention, web filtering, modern malware prevention, data loss prevention, and cloud access security broker capabilities across the network, endpoints, and the cloud. When end-customers purchase our physical, virtual, or container firewall appliances, or certain cloud offerings, they typically purchase support in order to receive ongoing security updates, upgrades, bug fixes, and repairs. In addition to the subscriptions purchased with these appliances, end-customers may also purchase other subscriptions on a per-user, per-endpoint, or capacity-based basis. We also offer professional services, including incident response, risk management, and digital forensic services.</w:t>
      </w:r>
    </w:p>
    <w:p>
      <w:pPr>
        <w:spacing w:after="0" w:line="8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We continue to invest in innovation as we evolve and further extend the capabilities of our portfolio, as we believe that innovation and timely development of new features and products are essential to meeting the needs of our end-customers and improving our competitive position. For example, in April 2024, we introduced new Cortex XSIAM features that enable security operations teams to identify and remediate cloud threats in real-time.</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believe that the growth of our business and our short-term and long-term success are dependent upon many factors, including our ability to extend our technology leadership, grow our base of end-customers, expand deployment of our portfolio and support offerings within existing end-customers, focus on end-customer satisfaction, and address any product vulnerabilities.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II, Item 1A of this Quarterly Report on Form 10-Q.</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Impact of Macroeconomic Developments and Other Factors on Our Business</w:t>
      </w:r>
    </w:p>
    <w:p>
      <w:pPr>
        <w:spacing w:after="0" w:line="14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overall performance depends in part on worldwide economic and geopolitical conditions and their impact on customer behavior. Worsening economic conditions, including inflation, higher interest rates, slower growth, fluctuations in foreign exchange rates, supply chain disruptions, and other conditions, may adversely affect our results of operations and financial performance.</w:t>
      </w:r>
    </w:p>
    <w:p>
      <w:pPr>
        <w:spacing w:after="0" w:line="77"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hostilities in Israel and the surrounding region have increased the levels of economic and political uncertainty. While we have business operations in Israel, and intend to continue growing our presence in Israel, we currently do not expect significant business disruption. We are actively monitoring, evaluating, and responding to the developing situation.</w:t>
      </w:r>
    </w:p>
    <w:p>
      <w:pPr>
        <w:spacing w:after="0" w:line="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also monitoring the impact of inflationary pressures and the tensions between China and Taiwan, and between the U.S. and China, which could have an adverse impact on our business or results of operations in future periods.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Key Financial Metrics</w:t>
      </w:r>
    </w:p>
    <w:p>
      <w:pPr>
        <w:spacing w:after="0" w:line="14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income and margin below under “Results of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April 30, 2024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 2023</w:t>
            </w:r>
          </w:p>
        </w:tc>
      </w:tr>
      <w:tr>
        <w:trPr>
          <w:trHeight w:val="263"/>
        </w:trPr>
        <w:tc>
          <w:tcPr>
            <w:tcW w:w="4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bottom w:val="single" w:sz="8" w:color="auto"/>
            </w:tcBorders>
          </w:tcPr>
          <w:p>
            <w:pPr>
              <w:spacing w:after="0"/>
              <w:rPr>
                <w:sz w:val="22"/>
                <w:szCs w:val="22"/>
                <w:color w:val="auto"/>
              </w:rPr>
            </w:pPr>
          </w:p>
        </w:tc>
      </w:tr>
      <w:tr>
        <w:trPr>
          <w:trHeight w:val="243"/>
        </w:trPr>
        <w:tc>
          <w:tcPr>
            <w:tcW w:w="448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deferred revenue</w:t>
            </w:r>
          </w:p>
        </w:tc>
        <w:tc>
          <w:tcPr>
            <w:tcW w:w="380" w:type="dxa"/>
            <w:vAlign w:val="bottom"/>
            <w:shd w:val="clear" w:color="auto" w:fill="E3E3E3"/>
          </w:tcPr>
          <w:p>
            <w:pPr>
              <w:spacing w:after="0"/>
              <w:rPr>
                <w:sz w:val="21"/>
                <w:szCs w:val="21"/>
                <w:color w:val="auto"/>
              </w:rPr>
            </w:pPr>
          </w:p>
        </w:tc>
        <w:tc>
          <w:tcPr>
            <w:tcW w:w="12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1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700" w:type="dxa"/>
            <w:vAlign w:val="bottom"/>
            <w:gridSpan w:val="2"/>
            <w:shd w:val="clear" w:color="auto" w:fill="E3E3E3"/>
          </w:tcPr>
          <w:p>
            <w:pPr>
              <w:jc w:val="right"/>
              <w:ind w:right="460"/>
              <w:spacing w:after="0"/>
              <w:rPr>
                <w:sz w:val="20"/>
                <w:szCs w:val="20"/>
                <w:color w:val="auto"/>
              </w:rPr>
            </w:pPr>
            <w:r>
              <w:rPr>
                <w:rFonts w:ascii="Arial" w:cs="Arial" w:eastAsia="Arial" w:hAnsi="Arial"/>
                <w:sz w:val="16"/>
                <w:szCs w:val="16"/>
                <w:color w:val="auto"/>
              </w:rPr>
              <w:t>$</w:t>
            </w:r>
          </w:p>
        </w:tc>
        <w:tc>
          <w:tcPr>
            <w:tcW w:w="9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10,167.6</w:t>
            </w:r>
          </w:p>
        </w:tc>
        <w:tc>
          <w:tcPr>
            <w:tcW w:w="60" w:type="dxa"/>
            <w:vAlign w:val="bottom"/>
            <w:shd w:val="clear" w:color="auto" w:fill="E3E3E3"/>
          </w:tcPr>
          <w:p>
            <w:pPr>
              <w:spacing w:after="0"/>
              <w:rPr>
                <w:sz w:val="21"/>
                <w:szCs w:val="21"/>
                <w:color w:val="auto"/>
              </w:rPr>
            </w:pPr>
          </w:p>
        </w:tc>
        <w:tc>
          <w:tcPr>
            <w:tcW w:w="620" w:type="dxa"/>
            <w:vAlign w:val="bottom"/>
            <w:gridSpan w:val="3"/>
            <w:shd w:val="clear" w:color="auto" w:fill="E3E3E3"/>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9,296.4</w:t>
            </w:r>
          </w:p>
        </w:tc>
      </w:tr>
      <w:tr>
        <w:trPr>
          <w:trHeight w:val="227"/>
        </w:trPr>
        <w:tc>
          <w:tcPr>
            <w:tcW w:w="4480" w:type="dxa"/>
            <w:vAlign w:val="bottom"/>
          </w:tcPr>
          <w:p>
            <w:pPr>
              <w:ind w:left="20"/>
              <w:spacing w:after="0"/>
              <w:rPr>
                <w:sz w:val="20"/>
                <w:szCs w:val="20"/>
                <w:color w:val="auto"/>
              </w:rPr>
            </w:pPr>
            <w:r>
              <w:rPr>
                <w:rFonts w:ascii="Arial" w:cs="Arial" w:eastAsia="Arial" w:hAnsi="Arial"/>
                <w:sz w:val="16"/>
                <w:szCs w:val="16"/>
                <w:color w:val="auto"/>
              </w:rPr>
              <w:t>Cash, cash equivalents, and investments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6,394.8</w:t>
            </w:r>
          </w:p>
        </w:tc>
        <w:tc>
          <w:tcPr>
            <w:tcW w:w="60" w:type="dxa"/>
            <w:vAlign w:val="bottom"/>
          </w:tcPr>
          <w:p>
            <w:pPr>
              <w:spacing w:after="0"/>
              <w:rPr>
                <w:sz w:val="19"/>
                <w:szCs w:val="19"/>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5,437.9</w:t>
            </w:r>
          </w:p>
        </w:tc>
      </w:tr>
      <w:tr>
        <w:trPr>
          <w:trHeight w:val="468"/>
        </w:trPr>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 April 30,</w:t>
            </w:r>
          </w:p>
        </w:tc>
      </w:tr>
      <w:tr>
        <w:trPr>
          <w:trHeight w:val="223"/>
        </w:trPr>
        <w:tc>
          <w:tcPr>
            <w:tcW w:w="44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63"/>
        </w:trPr>
        <w:tc>
          <w:tcPr>
            <w:tcW w:w="4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43"/>
        </w:trPr>
        <w:tc>
          <w:tcPr>
            <w:tcW w:w="448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revenue</w:t>
            </w:r>
          </w:p>
        </w:tc>
        <w:tc>
          <w:tcPr>
            <w:tcW w:w="38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3E3E3"/>
          </w:tcPr>
          <w:p>
            <w:pPr>
              <w:jc w:val="right"/>
              <w:ind w:right="121"/>
              <w:spacing w:after="0"/>
              <w:rPr>
                <w:sz w:val="20"/>
                <w:szCs w:val="20"/>
                <w:color w:val="auto"/>
              </w:rPr>
            </w:pPr>
            <w:r>
              <w:rPr>
                <w:rFonts w:ascii="Arial" w:cs="Arial" w:eastAsia="Arial" w:hAnsi="Arial"/>
                <w:sz w:val="16"/>
                <w:szCs w:val="16"/>
                <w:color w:val="auto"/>
              </w:rPr>
              <w:t>1,984.8</w:t>
            </w: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3E3E3"/>
          </w:tcPr>
          <w:p>
            <w:pPr>
              <w:jc w:val="right"/>
              <w:ind w:right="121"/>
              <w:spacing w:after="0"/>
              <w:rPr>
                <w:sz w:val="20"/>
                <w:szCs w:val="20"/>
                <w:color w:val="auto"/>
              </w:rPr>
            </w:pPr>
            <w:r>
              <w:rPr>
                <w:rFonts w:ascii="Arial" w:cs="Arial" w:eastAsia="Arial" w:hAnsi="Arial"/>
                <w:sz w:val="16"/>
                <w:szCs w:val="16"/>
                <w:color w:val="auto"/>
              </w:rPr>
              <w:t>1,720.9</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3E3E3"/>
          </w:tcPr>
          <w:p>
            <w:pPr>
              <w:spacing w:after="0"/>
              <w:rPr>
                <w:sz w:val="21"/>
                <w:szCs w:val="21"/>
                <w:color w:val="auto"/>
              </w:rPr>
            </w:pPr>
          </w:p>
        </w:tc>
        <w:tc>
          <w:tcPr>
            <w:tcW w:w="940" w:type="dxa"/>
            <w:vAlign w:val="bottom"/>
            <w:shd w:val="clear" w:color="auto" w:fill="E3E3E3"/>
          </w:tcPr>
          <w:p>
            <w:pPr>
              <w:jc w:val="right"/>
              <w:ind w:right="121"/>
              <w:spacing w:after="0"/>
              <w:rPr>
                <w:sz w:val="20"/>
                <w:szCs w:val="20"/>
                <w:color w:val="auto"/>
              </w:rPr>
            </w:pPr>
            <w:r>
              <w:rPr>
                <w:rFonts w:ascii="Arial" w:cs="Arial" w:eastAsia="Arial" w:hAnsi="Arial"/>
                <w:sz w:val="16"/>
                <w:szCs w:val="16"/>
                <w:color w:val="auto"/>
              </w:rPr>
              <w:t>5,838.0</w:t>
            </w:r>
          </w:p>
        </w:tc>
        <w:tc>
          <w:tcPr>
            <w:tcW w:w="60" w:type="dxa"/>
            <w:vAlign w:val="bottom"/>
            <w:shd w:val="clear" w:color="auto" w:fill="E3E3E3"/>
          </w:tcPr>
          <w:p>
            <w:pPr>
              <w:spacing w:after="0"/>
              <w:rPr>
                <w:sz w:val="21"/>
                <w:szCs w:val="21"/>
                <w:color w:val="auto"/>
              </w:rPr>
            </w:pPr>
          </w:p>
        </w:tc>
        <w:tc>
          <w:tcPr>
            <w:tcW w:w="620" w:type="dxa"/>
            <w:vAlign w:val="bottom"/>
            <w:gridSpan w:val="3"/>
            <w:shd w:val="clear" w:color="auto" w:fill="E3E3E3"/>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3E3"/>
          </w:tcPr>
          <w:p>
            <w:pPr>
              <w:jc w:val="right"/>
              <w:ind w:right="120"/>
              <w:spacing w:after="0"/>
              <w:rPr>
                <w:sz w:val="20"/>
                <w:szCs w:val="20"/>
                <w:color w:val="auto"/>
              </w:rPr>
            </w:pPr>
            <w:r>
              <w:rPr>
                <w:rFonts w:ascii="Arial" w:cs="Arial" w:eastAsia="Arial" w:hAnsi="Arial"/>
                <w:sz w:val="16"/>
                <w:szCs w:val="16"/>
                <w:color w:val="auto"/>
              </w:rPr>
              <w:t>4,939.4</w:t>
            </w:r>
          </w:p>
        </w:tc>
      </w:tr>
      <w:tr>
        <w:trPr>
          <w:trHeight w:val="235"/>
        </w:trPr>
        <w:tc>
          <w:tcPr>
            <w:tcW w:w="4480" w:type="dxa"/>
            <w:vAlign w:val="bottom"/>
          </w:tcPr>
          <w:p>
            <w:pPr>
              <w:ind w:left="20"/>
              <w:spacing w:after="0"/>
              <w:rPr>
                <w:sz w:val="20"/>
                <w:szCs w:val="20"/>
                <w:color w:val="auto"/>
              </w:rPr>
            </w:pPr>
            <w:r>
              <w:rPr>
                <w:rFonts w:ascii="Arial" w:cs="Arial" w:eastAsia="Arial" w:hAnsi="Arial"/>
                <w:sz w:val="16"/>
                <w:szCs w:val="16"/>
                <w:color w:val="auto"/>
              </w:rPr>
              <w:t>Total revenue year-over-year percentage increase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25.0 %</w:t>
            </w:r>
          </w:p>
        </w:tc>
      </w:tr>
      <w:tr>
        <w:trPr>
          <w:trHeight w:val="251"/>
        </w:trPr>
        <w:tc>
          <w:tcPr>
            <w:tcW w:w="4480" w:type="dxa"/>
            <w:vAlign w:val="bottom"/>
            <w:shd w:val="clear" w:color="auto" w:fill="E3E3E3"/>
          </w:tcPr>
          <w:p>
            <w:pPr>
              <w:ind w:left="20"/>
              <w:spacing w:after="0"/>
              <w:rPr>
                <w:sz w:val="20"/>
                <w:szCs w:val="20"/>
                <w:color w:val="auto"/>
              </w:rPr>
            </w:pPr>
            <w:r>
              <w:rPr>
                <w:rFonts w:ascii="Arial" w:cs="Arial" w:eastAsia="Arial" w:hAnsi="Arial"/>
                <w:sz w:val="16"/>
                <w:szCs w:val="16"/>
                <w:color w:val="auto"/>
              </w:rPr>
              <w:t>Gross margin</w:t>
            </w:r>
          </w:p>
        </w:tc>
        <w:tc>
          <w:tcPr>
            <w:tcW w:w="38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74.1 %</w:t>
            </w: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72.4 %</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560" w:type="dxa"/>
            <w:vAlign w:val="bottom"/>
            <w:shd w:val="clear" w:color="auto" w:fill="E3E3E3"/>
          </w:tcPr>
          <w:p>
            <w:pPr>
              <w:spacing w:after="0"/>
              <w:rPr>
                <w:sz w:val="21"/>
                <w:szCs w:val="21"/>
                <w:color w:val="auto"/>
              </w:rPr>
            </w:pPr>
          </w:p>
        </w:tc>
        <w:tc>
          <w:tcPr>
            <w:tcW w:w="9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74.6 %</w:t>
            </w:r>
          </w:p>
        </w:tc>
        <w:tc>
          <w:tcPr>
            <w:tcW w:w="60" w:type="dxa"/>
            <w:vAlign w:val="bottom"/>
            <w:shd w:val="clear" w:color="auto" w:fill="E3E3E3"/>
          </w:tcPr>
          <w:p>
            <w:pPr>
              <w:spacing w:after="0"/>
              <w:rPr>
                <w:sz w:val="21"/>
                <w:szCs w:val="21"/>
                <w:color w:val="auto"/>
              </w:rPr>
            </w:pPr>
          </w:p>
        </w:tc>
        <w:tc>
          <w:tcPr>
            <w:tcW w:w="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71.6 %</w:t>
            </w:r>
          </w:p>
        </w:tc>
      </w:tr>
      <w:tr>
        <w:trPr>
          <w:trHeight w:val="235"/>
        </w:trPr>
        <w:tc>
          <w:tcPr>
            <w:tcW w:w="44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176.7</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445.5</w:t>
            </w:r>
          </w:p>
        </w:tc>
        <w:tc>
          <w:tcPr>
            <w:tcW w:w="60" w:type="dxa"/>
            <w:vAlign w:val="bottom"/>
          </w:tcPr>
          <w:p>
            <w:pPr>
              <w:spacing w:after="0"/>
              <w:rPr>
                <w:sz w:val="20"/>
                <w:szCs w:val="20"/>
                <w:color w:val="auto"/>
              </w:rPr>
            </w:pPr>
          </w:p>
        </w:tc>
        <w:tc>
          <w:tcPr>
            <w:tcW w:w="6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133.8</w:t>
            </w:r>
          </w:p>
        </w:tc>
      </w:tr>
      <w:tr>
        <w:trPr>
          <w:trHeight w:val="251"/>
        </w:trPr>
        <w:tc>
          <w:tcPr>
            <w:tcW w:w="4480" w:type="dxa"/>
            <w:vAlign w:val="bottom"/>
            <w:shd w:val="clear" w:color="auto" w:fill="E3E3E3"/>
          </w:tcPr>
          <w:p>
            <w:pPr>
              <w:ind w:left="20"/>
              <w:spacing w:after="0"/>
              <w:rPr>
                <w:sz w:val="20"/>
                <w:szCs w:val="20"/>
                <w:color w:val="auto"/>
              </w:rPr>
            </w:pPr>
            <w:r>
              <w:rPr>
                <w:rFonts w:ascii="Arial" w:cs="Arial" w:eastAsia="Arial" w:hAnsi="Arial"/>
                <w:sz w:val="16"/>
                <w:szCs w:val="16"/>
                <w:color w:val="auto"/>
              </w:rPr>
              <w:t>Operating margin</w:t>
            </w:r>
          </w:p>
        </w:tc>
        <w:tc>
          <w:tcPr>
            <w:tcW w:w="38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560" w:type="dxa"/>
            <w:vAlign w:val="bottom"/>
            <w:shd w:val="clear" w:color="auto" w:fill="E3E3E3"/>
          </w:tcPr>
          <w:p>
            <w:pPr>
              <w:spacing w:after="0"/>
              <w:rPr>
                <w:sz w:val="21"/>
                <w:szCs w:val="21"/>
                <w:color w:val="auto"/>
              </w:rPr>
            </w:pPr>
          </w:p>
        </w:tc>
        <w:tc>
          <w:tcPr>
            <w:tcW w:w="9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7.6 %</w:t>
            </w:r>
          </w:p>
        </w:tc>
        <w:tc>
          <w:tcPr>
            <w:tcW w:w="60" w:type="dxa"/>
            <w:vAlign w:val="bottom"/>
            <w:shd w:val="clear" w:color="auto" w:fill="E3E3E3"/>
          </w:tcPr>
          <w:p>
            <w:pPr>
              <w:spacing w:after="0"/>
              <w:rPr>
                <w:sz w:val="21"/>
                <w:szCs w:val="21"/>
                <w:color w:val="auto"/>
              </w:rPr>
            </w:pPr>
          </w:p>
        </w:tc>
        <w:tc>
          <w:tcPr>
            <w:tcW w:w="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2.7 %</w:t>
            </w:r>
          </w:p>
        </w:tc>
      </w:tr>
      <w:tr>
        <w:trPr>
          <w:trHeight w:val="235"/>
        </w:trPr>
        <w:tc>
          <w:tcPr>
            <w:tcW w:w="4480" w:type="dxa"/>
            <w:vAlign w:val="bottom"/>
          </w:tcPr>
          <w:p>
            <w:pPr>
              <w:ind w:left="20"/>
              <w:spacing w:after="0"/>
              <w:rPr>
                <w:sz w:val="20"/>
                <w:szCs w:val="20"/>
                <w:color w:val="auto"/>
              </w:rPr>
            </w:pPr>
            <w:r>
              <w:rPr>
                <w:rFonts w:ascii="Arial" w:cs="Arial" w:eastAsia="Arial" w:hAnsi="Arial"/>
                <w:sz w:val="16"/>
                <w:szCs w:val="16"/>
                <w:color w:val="auto"/>
              </w:rPr>
              <w:t>Billings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2,334.0</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2,256.2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6,705.7</w:t>
            </w:r>
          </w:p>
        </w:tc>
        <w:tc>
          <w:tcPr>
            <w:tcW w:w="60" w:type="dxa"/>
            <w:vAlign w:val="bottom"/>
          </w:tcPr>
          <w:p>
            <w:pPr>
              <w:spacing w:after="0"/>
              <w:rPr>
                <w:sz w:val="20"/>
                <w:szCs w:val="20"/>
                <w:color w:val="auto"/>
              </w:rPr>
            </w:pPr>
          </w:p>
        </w:tc>
        <w:tc>
          <w:tcPr>
            <w:tcW w:w="6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6,034.3</w:t>
            </w:r>
          </w:p>
        </w:tc>
      </w:tr>
      <w:tr>
        <w:trPr>
          <w:trHeight w:val="251"/>
        </w:trPr>
        <w:tc>
          <w:tcPr>
            <w:tcW w:w="4480" w:type="dxa"/>
            <w:vAlign w:val="bottom"/>
            <w:shd w:val="clear" w:color="auto" w:fill="E3E3E3"/>
          </w:tcPr>
          <w:p>
            <w:pPr>
              <w:ind w:left="20"/>
              <w:spacing w:after="0"/>
              <w:rPr>
                <w:sz w:val="20"/>
                <w:szCs w:val="20"/>
                <w:color w:val="auto"/>
              </w:rPr>
            </w:pPr>
            <w:r>
              <w:rPr>
                <w:rFonts w:ascii="Arial" w:cs="Arial" w:eastAsia="Arial" w:hAnsi="Arial"/>
                <w:sz w:val="16"/>
                <w:szCs w:val="16"/>
                <w:color w:val="auto"/>
              </w:rPr>
              <w:t>Billings year-over-year percentage increase</w:t>
            </w:r>
          </w:p>
        </w:tc>
        <w:tc>
          <w:tcPr>
            <w:tcW w:w="380" w:type="dxa"/>
            <w:vAlign w:val="bottom"/>
            <w:shd w:val="clear" w:color="auto" w:fill="E3E3E3"/>
          </w:tcPr>
          <w:p>
            <w:pPr>
              <w:spacing w:after="0"/>
              <w:rPr>
                <w:sz w:val="21"/>
                <w:szCs w:val="21"/>
                <w:color w:val="auto"/>
              </w:rPr>
            </w:pPr>
          </w:p>
        </w:tc>
        <w:tc>
          <w:tcPr>
            <w:tcW w:w="1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11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25.6 %</w:t>
            </w: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560" w:type="dxa"/>
            <w:vAlign w:val="bottom"/>
            <w:shd w:val="clear" w:color="auto" w:fill="E3E3E3"/>
          </w:tcPr>
          <w:p>
            <w:pPr>
              <w:spacing w:after="0"/>
              <w:rPr>
                <w:sz w:val="21"/>
                <w:szCs w:val="21"/>
                <w:color w:val="auto"/>
              </w:rPr>
            </w:pPr>
          </w:p>
        </w:tc>
        <w:tc>
          <w:tcPr>
            <w:tcW w:w="9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11.1 %</w:t>
            </w:r>
          </w:p>
        </w:tc>
        <w:tc>
          <w:tcPr>
            <w:tcW w:w="60" w:type="dxa"/>
            <w:vAlign w:val="bottom"/>
            <w:shd w:val="clear" w:color="auto" w:fill="E3E3E3"/>
          </w:tcPr>
          <w:p>
            <w:pPr>
              <w:spacing w:after="0"/>
              <w:rPr>
                <w:sz w:val="21"/>
                <w:szCs w:val="21"/>
                <w:color w:val="auto"/>
              </w:rPr>
            </w:pPr>
          </w:p>
        </w:tc>
        <w:tc>
          <w:tcPr>
            <w:tcW w:w="4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500" w:type="dxa"/>
            <w:vAlign w:val="bottom"/>
            <w:shd w:val="clear" w:color="auto" w:fill="E3E3E3"/>
          </w:tcPr>
          <w:p>
            <w:pPr>
              <w:spacing w:after="0"/>
              <w:rPr>
                <w:sz w:val="21"/>
                <w:szCs w:val="21"/>
                <w:color w:val="auto"/>
              </w:rPr>
            </w:pPr>
          </w:p>
        </w:tc>
        <w:tc>
          <w:tcPr>
            <w:tcW w:w="10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26.1 %</w:t>
            </w:r>
          </w:p>
        </w:tc>
      </w:tr>
      <w:tr>
        <w:trPr>
          <w:trHeight w:val="235"/>
        </w:trPr>
        <w:tc>
          <w:tcPr>
            <w:tcW w:w="4480" w:type="dxa"/>
            <w:vAlign w:val="bottom"/>
          </w:tcPr>
          <w:p>
            <w:pPr>
              <w:ind w:left="20"/>
              <w:spacing w:after="0"/>
              <w:rPr>
                <w:sz w:val="20"/>
                <w:szCs w:val="20"/>
                <w:color w:val="auto"/>
              </w:rPr>
            </w:pPr>
            <w:r>
              <w:rPr>
                <w:rFonts w:ascii="Arial" w:cs="Arial" w:eastAsia="Arial" w:hAnsi="Arial"/>
                <w:sz w:val="16"/>
                <w:szCs w:val="16"/>
                <w:color w:val="auto"/>
              </w:rPr>
              <w:t>Cash flow provided by operating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2,744.9</w:t>
            </w:r>
          </w:p>
        </w:tc>
        <w:tc>
          <w:tcPr>
            <w:tcW w:w="60" w:type="dxa"/>
            <w:vAlign w:val="bottom"/>
          </w:tcPr>
          <w:p>
            <w:pPr>
              <w:spacing w:after="0"/>
              <w:rPr>
                <w:sz w:val="20"/>
                <w:szCs w:val="20"/>
                <w:color w:val="auto"/>
              </w:rPr>
            </w:pPr>
          </w:p>
        </w:tc>
        <w:tc>
          <w:tcPr>
            <w:tcW w:w="6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2,363.4</w:t>
            </w:r>
          </w:p>
        </w:tc>
      </w:tr>
      <w:tr>
        <w:trPr>
          <w:trHeight w:val="251"/>
        </w:trPr>
        <w:tc>
          <w:tcPr>
            <w:tcW w:w="4480" w:type="dxa"/>
            <w:vAlign w:val="bottom"/>
            <w:shd w:val="clear" w:color="auto" w:fill="E3E3E3"/>
          </w:tcPr>
          <w:p>
            <w:pPr>
              <w:ind w:left="20"/>
              <w:spacing w:after="0"/>
              <w:rPr>
                <w:sz w:val="20"/>
                <w:szCs w:val="20"/>
                <w:color w:val="auto"/>
              </w:rPr>
            </w:pPr>
            <w:r>
              <w:rPr>
                <w:rFonts w:ascii="Arial" w:cs="Arial" w:eastAsia="Arial" w:hAnsi="Arial"/>
                <w:sz w:val="16"/>
                <w:szCs w:val="16"/>
                <w:color w:val="auto"/>
              </w:rPr>
              <w:t>Free cash flow (non-GAAP)</w:t>
            </w:r>
          </w:p>
        </w:tc>
        <w:tc>
          <w:tcPr>
            <w:tcW w:w="380" w:type="dxa"/>
            <w:vAlign w:val="bottom"/>
            <w:shd w:val="clear" w:color="auto" w:fill="E3E3E3"/>
          </w:tcPr>
          <w:p>
            <w:pPr>
              <w:spacing w:after="0"/>
              <w:rPr>
                <w:sz w:val="21"/>
                <w:szCs w:val="21"/>
                <w:color w:val="auto"/>
              </w:rPr>
            </w:pPr>
          </w:p>
        </w:tc>
        <w:tc>
          <w:tcPr>
            <w:tcW w:w="12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1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3E3E3"/>
          </w:tcPr>
          <w:p>
            <w:pPr>
              <w:spacing w:after="0"/>
              <w:rPr>
                <w:sz w:val="21"/>
                <w:szCs w:val="21"/>
                <w:color w:val="auto"/>
              </w:rPr>
            </w:pPr>
          </w:p>
        </w:tc>
        <w:tc>
          <w:tcPr>
            <w:tcW w:w="940" w:type="dxa"/>
            <w:vAlign w:val="bottom"/>
            <w:shd w:val="clear" w:color="auto" w:fill="E3E3E3"/>
          </w:tcPr>
          <w:p>
            <w:pPr>
              <w:jc w:val="right"/>
              <w:ind w:right="121"/>
              <w:spacing w:after="0"/>
              <w:rPr>
                <w:sz w:val="20"/>
                <w:szCs w:val="20"/>
                <w:color w:val="auto"/>
              </w:rPr>
            </w:pPr>
            <w:r>
              <w:rPr>
                <w:rFonts w:ascii="Arial" w:cs="Arial" w:eastAsia="Arial" w:hAnsi="Arial"/>
                <w:sz w:val="16"/>
                <w:szCs w:val="16"/>
                <w:color w:val="auto"/>
              </w:rPr>
              <w:t>2,635.5</w:t>
            </w:r>
          </w:p>
        </w:tc>
        <w:tc>
          <w:tcPr>
            <w:tcW w:w="60" w:type="dxa"/>
            <w:vAlign w:val="bottom"/>
            <w:shd w:val="clear" w:color="auto" w:fill="E3E3E3"/>
          </w:tcPr>
          <w:p>
            <w:pPr>
              <w:spacing w:after="0"/>
              <w:rPr>
                <w:sz w:val="21"/>
                <w:szCs w:val="21"/>
                <w:color w:val="auto"/>
              </w:rPr>
            </w:pPr>
          </w:p>
        </w:tc>
        <w:tc>
          <w:tcPr>
            <w:tcW w:w="620" w:type="dxa"/>
            <w:vAlign w:val="bottom"/>
            <w:gridSpan w:val="3"/>
            <w:shd w:val="clear" w:color="auto" w:fill="E3E3E3"/>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3E3E3"/>
          </w:tcPr>
          <w:p>
            <w:pPr>
              <w:jc w:val="right"/>
              <w:ind w:right="120"/>
              <w:spacing w:after="0"/>
              <w:rPr>
                <w:sz w:val="20"/>
                <w:szCs w:val="20"/>
                <w:color w:val="auto"/>
              </w:rPr>
            </w:pPr>
            <w:r>
              <w:rPr>
                <w:rFonts w:ascii="Arial" w:cs="Arial" w:eastAsia="Arial" w:hAnsi="Arial"/>
                <w:sz w:val="16"/>
                <w:szCs w:val="16"/>
                <w:color w:val="auto"/>
              </w:rPr>
              <w:t>2,254.3</w:t>
            </w:r>
          </w:p>
        </w:tc>
      </w:tr>
    </w:tbl>
    <w:p>
      <w:pPr>
        <w:spacing w:after="0" w:line="175" w:lineRule="exact"/>
        <w:rPr>
          <w:sz w:val="20"/>
          <w:szCs w:val="20"/>
          <w:color w:val="auto"/>
        </w:rPr>
      </w:pPr>
    </w:p>
    <w:p>
      <w:pPr>
        <w:ind w:left="200" w:right="380" w:hanging="192"/>
        <w:spacing w:after="0" w:line="275" w:lineRule="auto"/>
        <w:tabs>
          <w:tab w:leader="none" w:pos="184" w:val="left"/>
        </w:tabs>
        <w:numPr>
          <w:ilvl w:val="0"/>
          <w:numId w:val="15"/>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Deferred Revenue. </w:t>
      </w:r>
      <w:r>
        <w:rPr>
          <w:rFonts w:ascii="Arial" w:cs="Arial" w:eastAsia="Arial" w:hAnsi="Arial"/>
          <w:sz w:val="16"/>
          <w:szCs w:val="16"/>
          <w:color w:val="auto"/>
        </w:rPr>
        <w:t>Our deferred revenue primarily consists of amounts that have been invoiced but have not been recognized as revenue 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 The majority of our deferred revenue balance consists of subscription and support revenue that is recognized ratably over the contractual service period. We monitor our deferred revenue balance because it represents a significant portion of revenue to be recognized in future periods.</w:t>
      </w:r>
    </w:p>
    <w:p>
      <w:pPr>
        <w:spacing w:after="0" w:line="69" w:lineRule="exact"/>
        <w:rPr>
          <w:rFonts w:ascii="Arial" w:cs="Arial" w:eastAsia="Arial" w:hAnsi="Arial"/>
          <w:sz w:val="16"/>
          <w:szCs w:val="16"/>
          <w:b w:val="1"/>
          <w:bCs w:val="1"/>
          <w:i w:val="1"/>
          <w:iCs w:val="1"/>
          <w:color w:val="E64B38"/>
        </w:rPr>
      </w:pPr>
    </w:p>
    <w:p>
      <w:pPr>
        <w:ind w:left="200" w:hanging="192"/>
        <w:spacing w:after="0" w:line="256" w:lineRule="auto"/>
        <w:tabs>
          <w:tab w:leader="none" w:pos="184" w:val="left"/>
        </w:tabs>
        <w:numPr>
          <w:ilvl w:val="0"/>
          <w:numId w:val="15"/>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Billings. </w:t>
      </w:r>
      <w:r>
        <w:rPr>
          <w:rFonts w:ascii="Arial" w:cs="Arial" w:eastAsia="Arial" w:hAnsi="Arial"/>
          <w:sz w:val="16"/>
          <w:szCs w:val="16"/>
          <w:color w:val="auto"/>
        </w:rPr>
        <w:t>We define billings as total revenue plus the change in total deferred revenue, net of acquired deferred revenue, during the period. We consider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billings to be a key metric used by management to manage our business. We believe billings provides investors with an important indicator of the health and visibility of our business because it includes subscription and support revenue, which is recognized ratably over the contractual service period, and product revenue, which is recognized at the time of hardware shipment or delivery of software license, provided that all other conditions for revenue recognition have been met. We consider billings to be a useful metric for management and investors, particularly if we continue to experience increased sales of subscriptions and strong renewal rates for subscription and support offerings, and as we monitor our near-term cash flows. While we believe that billings provides useful information to investors and others in understanding and evaluating our operating results in the same manner as our management, it is important to note that other companies, including companies in our industry, may not use billings, may calculate billings differently, may have different billing frequencies, or may use other financial measures to evaluate their performance, all of which could reduce the usefulness of billings as a comparative measure. We calculate billings in the following manner: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April 30,</w:t>
            </w:r>
          </w:p>
        </w:tc>
        <w:tc>
          <w:tcPr>
            <w:tcW w:w="620" w:type="dxa"/>
            <w:vAlign w:val="bottom"/>
          </w:tcPr>
          <w:p>
            <w:pPr>
              <w:spacing w:after="0"/>
              <w:rPr>
                <w:sz w:val="17"/>
                <w:szCs w:val="17"/>
                <w:color w:val="auto"/>
              </w:rPr>
            </w:pPr>
          </w:p>
        </w:tc>
      </w:tr>
      <w:tr>
        <w:trPr>
          <w:trHeight w:val="223"/>
        </w:trPr>
        <w:tc>
          <w:tcPr>
            <w:tcW w:w="49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63"/>
        </w:trPr>
        <w:tc>
          <w:tcPr>
            <w:tcW w:w="49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ind w:left="523"/>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43"/>
        </w:trPr>
        <w:tc>
          <w:tcPr>
            <w:tcW w:w="496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Billings:</w:t>
            </w:r>
          </w:p>
        </w:tc>
        <w:tc>
          <w:tcPr>
            <w:tcW w:w="280" w:type="dxa"/>
            <w:vAlign w:val="bottom"/>
            <w:shd w:val="clear" w:color="auto" w:fill="E3E3E3"/>
          </w:tcPr>
          <w:p>
            <w:pPr>
              <w:spacing w:after="0"/>
              <w:rPr>
                <w:sz w:val="21"/>
                <w:szCs w:val="21"/>
                <w:color w:val="auto"/>
              </w:rPr>
            </w:pPr>
          </w:p>
        </w:tc>
        <w:tc>
          <w:tcPr>
            <w:tcW w:w="12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40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6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620" w:type="dxa"/>
            <w:vAlign w:val="bottom"/>
            <w:shd w:val="clear" w:color="auto" w:fill="E3E3E3"/>
          </w:tcPr>
          <w:p>
            <w:pPr>
              <w:spacing w:after="0"/>
              <w:rPr>
                <w:sz w:val="21"/>
                <w:szCs w:val="21"/>
                <w:color w:val="auto"/>
              </w:rPr>
            </w:pPr>
          </w:p>
        </w:tc>
      </w:tr>
      <w:tr>
        <w:trPr>
          <w:trHeight w:val="235"/>
        </w:trPr>
        <w:tc>
          <w:tcPr>
            <w:tcW w:w="496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1,984.8</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1,720.9</w:t>
            </w:r>
          </w:p>
        </w:tc>
        <w:tc>
          <w:tcPr>
            <w:tcW w:w="100" w:type="dxa"/>
            <w:vAlign w:val="bottom"/>
          </w:tcPr>
          <w:p>
            <w:pPr>
              <w:spacing w:after="0"/>
              <w:rPr>
                <w:sz w:val="20"/>
                <w:szCs w:val="20"/>
                <w:color w:val="auto"/>
              </w:rPr>
            </w:pPr>
          </w:p>
        </w:tc>
        <w:tc>
          <w:tcPr>
            <w:tcW w:w="560" w:type="dxa"/>
            <w:vAlign w:val="bottom"/>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5,838.0</w:t>
            </w:r>
          </w:p>
        </w:tc>
        <w:tc>
          <w:tcPr>
            <w:tcW w:w="100" w:type="dxa"/>
            <w:vAlign w:val="bottom"/>
          </w:tcPr>
          <w:p>
            <w:pPr>
              <w:spacing w:after="0"/>
              <w:rPr>
                <w:sz w:val="20"/>
                <w:szCs w:val="20"/>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w w:val="97"/>
              </w:rPr>
              <w:t>4,939.4</w:t>
            </w:r>
          </w:p>
        </w:tc>
      </w:tr>
      <w:tr>
        <w:trPr>
          <w:trHeight w:val="223"/>
        </w:trPr>
        <w:tc>
          <w:tcPr>
            <w:tcW w:w="4960" w:type="dxa"/>
            <w:vAlign w:val="bottom"/>
            <w:shd w:val="clear" w:color="auto" w:fill="E3E3E3"/>
          </w:tcPr>
          <w:p>
            <w:pPr>
              <w:ind w:left="460"/>
              <w:spacing w:after="0"/>
              <w:rPr>
                <w:sz w:val="20"/>
                <w:szCs w:val="20"/>
                <w:color w:val="auto"/>
              </w:rPr>
            </w:pPr>
            <w:r>
              <w:rPr>
                <w:rFonts w:ascii="Arial" w:cs="Arial" w:eastAsia="Arial" w:hAnsi="Arial"/>
                <w:sz w:val="16"/>
                <w:szCs w:val="16"/>
                <w:color w:val="auto"/>
              </w:rPr>
              <w:t>Add: change in total deferred revenue, net of acquired</w:t>
            </w:r>
          </w:p>
        </w:tc>
        <w:tc>
          <w:tcPr>
            <w:tcW w:w="280" w:type="dxa"/>
            <w:vAlign w:val="bottom"/>
            <w:shd w:val="clear" w:color="auto" w:fill="E3E3E3"/>
          </w:tcPr>
          <w:p>
            <w:pPr>
              <w:spacing w:after="0"/>
              <w:rPr>
                <w:sz w:val="19"/>
                <w:szCs w:val="19"/>
                <w:color w:val="auto"/>
              </w:rPr>
            </w:pPr>
          </w:p>
        </w:tc>
        <w:tc>
          <w:tcPr>
            <w:tcW w:w="12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40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60" w:type="dxa"/>
            <w:vAlign w:val="bottom"/>
            <w:shd w:val="clear" w:color="auto" w:fill="E3E3E3"/>
          </w:tcPr>
          <w:p>
            <w:pPr>
              <w:spacing w:after="0"/>
              <w:rPr>
                <w:sz w:val="19"/>
                <w:szCs w:val="19"/>
                <w:color w:val="auto"/>
              </w:rPr>
            </w:pPr>
          </w:p>
        </w:tc>
        <w:tc>
          <w:tcPr>
            <w:tcW w:w="10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940" w:type="dxa"/>
            <w:vAlign w:val="bottom"/>
            <w:shd w:val="clear" w:color="auto" w:fill="E3E3E3"/>
          </w:tcPr>
          <w:p>
            <w:pPr>
              <w:spacing w:after="0"/>
              <w:rPr>
                <w:sz w:val="19"/>
                <w:szCs w:val="19"/>
                <w:color w:val="auto"/>
              </w:rPr>
            </w:pPr>
          </w:p>
        </w:tc>
        <w:tc>
          <w:tcPr>
            <w:tcW w:w="620" w:type="dxa"/>
            <w:vAlign w:val="bottom"/>
            <w:shd w:val="clear" w:color="auto" w:fill="E3E3E3"/>
          </w:tcPr>
          <w:p>
            <w:pPr>
              <w:spacing w:after="0"/>
              <w:rPr>
                <w:sz w:val="19"/>
                <w:szCs w:val="19"/>
                <w:color w:val="auto"/>
              </w:rPr>
            </w:pPr>
          </w:p>
        </w:tc>
      </w:tr>
      <w:tr>
        <w:trPr>
          <w:trHeight w:val="224"/>
        </w:trPr>
        <w:tc>
          <w:tcPr>
            <w:tcW w:w="4960" w:type="dxa"/>
            <w:vAlign w:val="bottom"/>
            <w:shd w:val="clear" w:color="auto" w:fill="E3E3E3"/>
          </w:tcPr>
          <w:p>
            <w:pPr>
              <w:ind w:left="46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auto"/>
            </w:tcBorders>
            <w:shd w:val="clear" w:color="auto" w:fill="E3E3E3"/>
          </w:tcPr>
          <w:p>
            <w:pPr>
              <w:spacing w:after="0"/>
              <w:rPr>
                <w:sz w:val="19"/>
                <w:szCs w:val="19"/>
                <w:color w:val="auto"/>
              </w:rPr>
            </w:pPr>
          </w:p>
        </w:tc>
        <w:tc>
          <w:tcPr>
            <w:tcW w:w="128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349.2</w:t>
            </w:r>
          </w:p>
        </w:tc>
        <w:tc>
          <w:tcPr>
            <w:tcW w:w="100" w:type="dxa"/>
            <w:vAlign w:val="bottom"/>
            <w:shd w:val="clear" w:color="auto" w:fill="E3E3E3"/>
          </w:tcPr>
          <w:p>
            <w:pPr>
              <w:spacing w:after="0"/>
              <w:rPr>
                <w:sz w:val="19"/>
                <w:szCs w:val="19"/>
                <w:color w:val="auto"/>
              </w:rPr>
            </w:pPr>
          </w:p>
        </w:tc>
        <w:tc>
          <w:tcPr>
            <w:tcW w:w="400" w:type="dxa"/>
            <w:vAlign w:val="bottom"/>
            <w:tcBorders>
              <w:bottom w:val="single" w:sz="8" w:color="auto"/>
            </w:tcBorders>
            <w:shd w:val="clear" w:color="auto" w:fill="E3E3E3"/>
          </w:tcPr>
          <w:p>
            <w:pPr>
              <w:spacing w:after="0"/>
              <w:rPr>
                <w:sz w:val="19"/>
                <w:szCs w:val="19"/>
                <w:color w:val="auto"/>
              </w:rPr>
            </w:pPr>
          </w:p>
        </w:tc>
        <w:tc>
          <w:tcPr>
            <w:tcW w:w="90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535.3</w:t>
            </w:r>
          </w:p>
        </w:tc>
        <w:tc>
          <w:tcPr>
            <w:tcW w:w="100" w:type="dxa"/>
            <w:vAlign w:val="bottom"/>
            <w:shd w:val="clear" w:color="auto" w:fill="E3E3E3"/>
          </w:tcPr>
          <w:p>
            <w:pPr>
              <w:spacing w:after="0"/>
              <w:rPr>
                <w:sz w:val="19"/>
                <w:szCs w:val="19"/>
                <w:color w:val="auto"/>
              </w:rPr>
            </w:pPr>
          </w:p>
        </w:tc>
        <w:tc>
          <w:tcPr>
            <w:tcW w:w="560" w:type="dxa"/>
            <w:vAlign w:val="bottom"/>
            <w:tcBorders>
              <w:bottom w:val="single" w:sz="8" w:color="auto"/>
            </w:tcBorders>
            <w:shd w:val="clear" w:color="auto" w:fill="E3E3E3"/>
          </w:tcPr>
          <w:p>
            <w:pPr>
              <w:spacing w:after="0"/>
              <w:rPr>
                <w:sz w:val="19"/>
                <w:szCs w:val="19"/>
                <w:color w:val="auto"/>
              </w:rPr>
            </w:pPr>
          </w:p>
        </w:tc>
        <w:tc>
          <w:tcPr>
            <w:tcW w:w="100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867.7</w:t>
            </w:r>
          </w:p>
        </w:tc>
        <w:tc>
          <w:tcPr>
            <w:tcW w:w="100" w:type="dxa"/>
            <w:vAlign w:val="bottom"/>
            <w:shd w:val="clear" w:color="auto" w:fill="E3E3E3"/>
          </w:tcPr>
          <w:p>
            <w:pPr>
              <w:spacing w:after="0"/>
              <w:rPr>
                <w:sz w:val="19"/>
                <w:szCs w:val="19"/>
                <w:color w:val="auto"/>
              </w:rPr>
            </w:pPr>
          </w:p>
        </w:tc>
        <w:tc>
          <w:tcPr>
            <w:tcW w:w="940" w:type="dxa"/>
            <w:vAlign w:val="bottom"/>
            <w:tcBorders>
              <w:bottom w:val="single" w:sz="8" w:color="auto"/>
            </w:tcBorders>
            <w:shd w:val="clear" w:color="auto" w:fill="E3E3E3"/>
          </w:tcPr>
          <w:p>
            <w:pPr>
              <w:spacing w:after="0"/>
              <w:rPr>
                <w:sz w:val="19"/>
                <w:szCs w:val="19"/>
                <w:color w:val="auto"/>
              </w:rPr>
            </w:pPr>
          </w:p>
        </w:tc>
        <w:tc>
          <w:tcPr>
            <w:tcW w:w="62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w w:val="97"/>
              </w:rPr>
              <w:t>1,094.9</w:t>
            </w:r>
          </w:p>
        </w:tc>
      </w:tr>
      <w:tr>
        <w:trPr>
          <w:trHeight w:val="243"/>
        </w:trPr>
        <w:tc>
          <w:tcPr>
            <w:tcW w:w="4960" w:type="dxa"/>
            <w:vAlign w:val="bottom"/>
          </w:tcPr>
          <w:p>
            <w:pPr>
              <w:ind w:left="240"/>
              <w:spacing w:after="0"/>
              <w:rPr>
                <w:sz w:val="20"/>
                <w:szCs w:val="20"/>
                <w:color w:val="auto"/>
              </w:rPr>
            </w:pPr>
            <w:r>
              <w:rPr>
                <w:rFonts w:ascii="Arial" w:cs="Arial" w:eastAsia="Arial" w:hAnsi="Arial"/>
                <w:sz w:val="16"/>
                <w:szCs w:val="16"/>
                <w:color w:val="auto"/>
              </w:rPr>
              <w:t>Billings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2,334.0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2,256.2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6,705.7</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7"/>
              </w:rPr>
              <w:t>6,034.3</w:t>
            </w:r>
          </w:p>
        </w:tc>
      </w:tr>
      <w:tr>
        <w:trPr>
          <w:trHeight w:val="21"/>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47"/>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622"/>
              <w:spacing w:after="0"/>
              <w:rPr>
                <w:sz w:val="20"/>
                <w:szCs w:val="20"/>
                <w:color w:val="auto"/>
              </w:rPr>
            </w:pPr>
            <w:r>
              <w:rPr>
                <w:rFonts w:ascii="Arial" w:cs="Arial" w:eastAsia="Arial" w:hAnsi="Arial"/>
                <w:sz w:val="16"/>
                <w:szCs w:val="16"/>
                <w:color w:val="auto"/>
              </w:rPr>
              <w:t>- 26 -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1"/>
        </w:trPr>
        <w:tc>
          <w:tcPr>
            <w:tcW w:w="49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00" w:right="100" w:hanging="192"/>
        <w:spacing w:after="0" w:line="265" w:lineRule="auto"/>
        <w:tabs>
          <w:tab w:leader="none" w:pos="184" w:val="left"/>
        </w:tabs>
        <w:numPr>
          <w:ilvl w:val="0"/>
          <w:numId w:val="16"/>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Cash Flow Provided by Operating Activities. </w:t>
      </w:r>
      <w:r>
        <w:rPr>
          <w:rFonts w:ascii="Arial" w:cs="Arial" w:eastAsia="Arial" w:hAnsi="Arial"/>
          <w:sz w:val="16"/>
          <w:szCs w:val="16"/>
          <w:color w:val="auto"/>
        </w:rPr>
        <w:t>We monitor cash flow provided by operating activities as a measure of our overall business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cash flow provided by operating activities is driven in large part by sales of our products and from up-front payments for subscription and support offerings. Monitoring cash flow provided by operating activities enables us to analyze our financial performance without the non-cash effects of certain items such as share-based compensation costs, depreciation, and amortization, thereby allowing us to better understand and manage the cash needs of our business.</w:t>
      </w:r>
    </w:p>
    <w:p>
      <w:pPr>
        <w:spacing w:after="0" w:line="64" w:lineRule="exact"/>
        <w:rPr>
          <w:rFonts w:ascii="Arial" w:cs="Arial" w:eastAsia="Arial" w:hAnsi="Arial"/>
          <w:sz w:val="16"/>
          <w:szCs w:val="16"/>
          <w:b w:val="1"/>
          <w:bCs w:val="1"/>
          <w:i w:val="1"/>
          <w:iCs w:val="1"/>
          <w:color w:val="E64B38"/>
        </w:rPr>
      </w:pPr>
    </w:p>
    <w:p>
      <w:pPr>
        <w:ind w:left="200" w:right="20" w:hanging="192"/>
        <w:spacing w:after="0" w:line="259" w:lineRule="auto"/>
        <w:tabs>
          <w:tab w:leader="none" w:pos="184" w:val="left"/>
        </w:tabs>
        <w:numPr>
          <w:ilvl w:val="0"/>
          <w:numId w:val="16"/>
        </w:numPr>
        <w:rPr>
          <w:rFonts w:ascii="Arial" w:cs="Arial" w:eastAsia="Arial" w:hAnsi="Arial"/>
          <w:sz w:val="16"/>
          <w:szCs w:val="16"/>
          <w:b w:val="1"/>
          <w:bCs w:val="1"/>
          <w:i w:val="1"/>
          <w:iCs w:val="1"/>
          <w:color w:val="E64B38"/>
        </w:rPr>
      </w:pPr>
      <w:r>
        <w:rPr>
          <w:rFonts w:ascii="Arial" w:cs="Arial" w:eastAsia="Arial" w:hAnsi="Arial"/>
          <w:sz w:val="16"/>
          <w:szCs w:val="16"/>
          <w:b w:val="1"/>
          <w:bCs w:val="1"/>
          <w:i w:val="1"/>
          <w:iCs w:val="1"/>
          <w:color w:val="auto"/>
        </w:rPr>
        <w:t xml:space="preserve">Free Cash Flow (non-GAAP). </w:t>
      </w:r>
      <w:r>
        <w:rPr>
          <w:rFonts w:ascii="Arial" w:cs="Arial" w:eastAsia="Arial" w:hAnsi="Arial"/>
          <w:sz w:val="16"/>
          <w:szCs w:val="16"/>
          <w:color w:val="auto"/>
        </w:rPr>
        <w:t>We define free cash flow, a non-GAAP financial measure, as cash provided by operating activities less purchases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equipment, and other assets. We consider free cash flow to be a profitability and liquidity measure that provides useful information to management and investors about the amount of cash generated by the business after necessary capital expenditures. A limitation of the utility of free cash flow as a measure of our financial performance and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cash flow provided by operating activities, the most directly comparable financial measure calculated and presented in accordance with U.S. GAAP, is provided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Nine Months Ended April 30,</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E3E3E3"/>
          </w:tcPr>
          <w:p>
            <w:pPr>
              <w:ind w:left="20"/>
              <w:spacing w:after="0"/>
              <w:rPr>
                <w:sz w:val="20"/>
                <w:szCs w:val="20"/>
                <w:color w:val="auto"/>
              </w:rPr>
            </w:pPr>
            <w:r>
              <w:rPr>
                <w:rFonts w:ascii="Arial" w:cs="Arial" w:eastAsia="Arial" w:hAnsi="Arial"/>
                <w:sz w:val="16"/>
                <w:szCs w:val="16"/>
                <w:b w:val="1"/>
                <w:bCs w:val="1"/>
                <w:color w:val="auto"/>
              </w:rPr>
              <w:t>Free cash flow (non-GAAP):</w:t>
            </w:r>
          </w:p>
        </w:tc>
        <w:tc>
          <w:tcPr>
            <w:tcW w:w="3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11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620" w:type="dxa"/>
            <w:vAlign w:val="bottom"/>
            <w:shd w:val="clear" w:color="auto" w:fill="E3E3E3"/>
          </w:tcPr>
          <w:p>
            <w:pPr>
              <w:spacing w:after="0"/>
              <w:rPr>
                <w:sz w:val="21"/>
                <w:szCs w:val="21"/>
                <w:color w:val="auto"/>
              </w:rPr>
            </w:pPr>
          </w:p>
        </w:tc>
        <w:tc>
          <w:tcPr>
            <w:tcW w:w="94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00" w:type="dxa"/>
            <w:vAlign w:val="bottom"/>
          </w:tcPr>
          <w:p>
            <w:pPr>
              <w:ind w:left="240"/>
              <w:spacing w:after="0"/>
              <w:rPr>
                <w:sz w:val="20"/>
                <w:szCs w:val="20"/>
                <w:color w:val="auto"/>
              </w:rPr>
            </w:pPr>
            <w:r>
              <w:rPr>
                <w:rFonts w:ascii="Arial" w:cs="Arial" w:eastAsia="Arial" w:hAnsi="Arial"/>
                <w:sz w:val="16"/>
                <w:szCs w:val="16"/>
                <w:color w:val="auto"/>
              </w:rPr>
              <w:t>Net cash provided by operating activities</w:t>
            </w:r>
          </w:p>
        </w:tc>
        <w:tc>
          <w:tcPr>
            <w:tcW w:w="35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2,744.9</w:t>
            </w:r>
          </w:p>
        </w:tc>
        <w:tc>
          <w:tcPr>
            <w:tcW w:w="100" w:type="dxa"/>
            <w:vAlign w:val="bottom"/>
          </w:tcPr>
          <w:p>
            <w:pPr>
              <w:spacing w:after="0"/>
              <w:rPr>
                <w:sz w:val="20"/>
                <w:szCs w:val="20"/>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2,363.4</w:t>
            </w:r>
          </w:p>
        </w:tc>
        <w:tc>
          <w:tcPr>
            <w:tcW w:w="0" w:type="dxa"/>
            <w:vAlign w:val="bottom"/>
          </w:tcPr>
          <w:p>
            <w:pPr>
              <w:spacing w:after="0"/>
              <w:rPr>
                <w:sz w:val="1"/>
                <w:szCs w:val="1"/>
                <w:color w:val="auto"/>
              </w:rPr>
            </w:pPr>
          </w:p>
        </w:tc>
      </w:tr>
      <w:tr>
        <w:trPr>
          <w:trHeight w:val="244"/>
        </w:trPr>
        <w:tc>
          <w:tcPr>
            <w:tcW w:w="49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Less: purchases of property, equipment, and other assets</w:t>
            </w:r>
          </w:p>
        </w:tc>
        <w:tc>
          <w:tcPr>
            <w:tcW w:w="3120" w:type="dxa"/>
            <w:vAlign w:val="bottom"/>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jc w:val="right"/>
              <w:ind w:right="1"/>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43"/>
        </w:trPr>
        <w:tc>
          <w:tcPr>
            <w:tcW w:w="4900" w:type="dxa"/>
            <w:vAlign w:val="bottom"/>
          </w:tcPr>
          <w:p>
            <w:pPr>
              <w:ind w:left="460"/>
              <w:spacing w:after="0"/>
              <w:rPr>
                <w:sz w:val="20"/>
                <w:szCs w:val="20"/>
                <w:color w:val="auto"/>
              </w:rPr>
            </w:pPr>
            <w:r>
              <w:rPr>
                <w:rFonts w:ascii="Arial" w:cs="Arial" w:eastAsia="Arial" w:hAnsi="Arial"/>
                <w:sz w:val="16"/>
                <w:szCs w:val="16"/>
                <w:color w:val="auto"/>
              </w:rPr>
              <w:t>Free cash flow (non-GAAP)</w:t>
            </w:r>
          </w:p>
        </w:tc>
        <w:tc>
          <w:tcPr>
            <w:tcW w:w="35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2,635.5</w:t>
            </w:r>
          </w:p>
        </w:tc>
        <w:tc>
          <w:tcPr>
            <w:tcW w:w="100" w:type="dxa"/>
            <w:vAlign w:val="bottom"/>
          </w:tcPr>
          <w:p>
            <w:pPr>
              <w:spacing w:after="0"/>
              <w:rPr>
                <w:sz w:val="21"/>
                <w:szCs w:val="21"/>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2,254.3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E3E3E3"/>
            </w:tcBorders>
          </w:tcPr>
          <w:p>
            <w:pPr>
              <w:spacing w:after="0" w:line="20" w:lineRule="exact"/>
              <w:rPr>
                <w:sz w:val="1"/>
                <w:szCs w:val="1"/>
                <w:color w:val="auto"/>
              </w:rPr>
            </w:pPr>
          </w:p>
        </w:tc>
        <w:tc>
          <w:tcPr>
            <w:tcW w:w="3120" w:type="dxa"/>
            <w:vAlign w:val="bottom"/>
            <w:tcBorders>
              <w:bottom w:val="single" w:sz="8" w:color="E3E3E3"/>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3E3E3"/>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0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Net cash used in investing activities</w:t>
            </w:r>
          </w:p>
        </w:tc>
        <w:tc>
          <w:tcPr>
            <w:tcW w:w="312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(1,341.4)</w:t>
            </w:r>
          </w:p>
        </w:tc>
        <w:tc>
          <w:tcPr>
            <w:tcW w:w="100" w:type="dxa"/>
            <w:vAlign w:val="bottom"/>
            <w:tcBorders>
              <w:bottom w:val="single" w:sz="8" w:color="E3E3E3"/>
            </w:tcBorders>
            <w:shd w:val="clear" w:color="auto" w:fill="E3E3E3"/>
          </w:tcPr>
          <w:p>
            <w:pPr>
              <w:spacing w:after="0"/>
              <w:rPr>
                <w:sz w:val="22"/>
                <w:szCs w:val="22"/>
                <w:color w:val="auto"/>
              </w:rPr>
            </w:pPr>
          </w:p>
        </w:tc>
        <w:tc>
          <w:tcPr>
            <w:tcW w:w="620" w:type="dxa"/>
            <w:vAlign w:val="bottom"/>
            <w:tcBorders>
              <w:bottom w:val="single" w:sz="8" w:color="auto"/>
            </w:tcBorders>
            <w:shd w:val="clear" w:color="auto" w:fill="E3E3E3"/>
          </w:tcPr>
          <w:p>
            <w:pPr>
              <w:jc w:val="right"/>
              <w:ind w:right="4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(2,396.4)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ind w:left="240"/>
              <w:spacing w:after="0"/>
              <w:rPr>
                <w:sz w:val="20"/>
                <w:szCs w:val="20"/>
                <w:color w:val="auto"/>
              </w:rPr>
            </w:pPr>
            <w:r>
              <w:rPr>
                <w:rFonts w:ascii="Arial" w:cs="Arial" w:eastAsia="Arial" w:hAnsi="Arial"/>
                <w:sz w:val="16"/>
                <w:szCs w:val="16"/>
                <w:color w:val="auto"/>
              </w:rPr>
              <w:t>Net cash used in financing activities</w:t>
            </w:r>
          </w:p>
        </w:tc>
        <w:tc>
          <w:tcPr>
            <w:tcW w:w="35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(1,163.8)</w:t>
            </w:r>
          </w:p>
        </w:tc>
        <w:tc>
          <w:tcPr>
            <w:tcW w:w="100" w:type="dxa"/>
            <w:vAlign w:val="bottom"/>
          </w:tcPr>
          <w:p>
            <w:pPr>
              <w:spacing w:after="0"/>
              <w:rPr>
                <w:sz w:val="18"/>
                <w:szCs w:val="18"/>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3120" w:type="dxa"/>
            <w:vAlign w:val="bottom"/>
            <w:vMerge w:val="restart"/>
          </w:tcPr>
          <w:p>
            <w:pPr>
              <w:jc w:val="right"/>
              <w:ind w:right="2119"/>
              <w:spacing w:after="0"/>
              <w:rPr>
                <w:sz w:val="20"/>
                <w:szCs w:val="20"/>
                <w:color w:val="auto"/>
              </w:rPr>
            </w:pPr>
            <w:r>
              <w:rPr>
                <w:rFonts w:ascii="Arial" w:cs="Arial" w:eastAsia="Arial" w:hAnsi="Arial"/>
                <w:sz w:val="16"/>
                <w:szCs w:val="16"/>
                <w:color w:val="auto"/>
              </w:rPr>
              <w:t>- 27 -</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4"/>
        </w:trPr>
        <w:tc>
          <w:tcPr>
            <w:tcW w:w="49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00" w:type="dxa"/>
            <w:vAlign w:val="bottom"/>
            <w:tcBorders>
              <w:bottom w:val="single" w:sz="8" w:color="9A9A9A"/>
            </w:tcBorders>
          </w:tcPr>
          <w:p>
            <w:pPr>
              <w:spacing w:after="0"/>
              <w:rPr>
                <w:sz w:val="19"/>
                <w:szCs w:val="19"/>
                <w:color w:val="auto"/>
              </w:rPr>
            </w:pPr>
          </w:p>
        </w:tc>
        <w:tc>
          <w:tcPr>
            <w:tcW w:w="312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Results of Operations</w:t>
      </w:r>
    </w:p>
    <w:p>
      <w:pPr>
        <w:spacing w:after="0" w:line="146"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following table summarizes our results of operations for the periods presented and as a percentage of our total revenue for those periods based on our condensed consolidated statements of operations data. The period-to-period comparison of results is not necessarily indicative of results for future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80" w:type="dxa"/>
            <w:vAlign w:val="bottom"/>
            <w:gridSpan w:val="9"/>
          </w:tcPr>
          <w:p>
            <w:pPr>
              <w:ind w:left="200"/>
              <w:spacing w:after="0"/>
              <w:rPr>
                <w:sz w:val="20"/>
                <w:szCs w:val="20"/>
                <w:color w:val="auto"/>
              </w:rPr>
            </w:pPr>
            <w:r>
              <w:rPr>
                <w:rFonts w:ascii="Arial" w:cs="Arial" w:eastAsia="Arial" w:hAnsi="Arial"/>
                <w:sz w:val="14"/>
                <w:szCs w:val="14"/>
                <w:b w:val="1"/>
                <w:bCs w:val="1"/>
                <w:color w:val="auto"/>
              </w:rPr>
              <w:t>Three Months Ended April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April 30,</w:t>
            </w:r>
          </w:p>
        </w:tc>
        <w:tc>
          <w:tcPr>
            <w:tcW w:w="1020" w:type="dxa"/>
            <w:vAlign w:val="bottom"/>
          </w:tcPr>
          <w:p>
            <w:pPr>
              <w:spacing w:after="0"/>
              <w:rPr>
                <w:sz w:val="17"/>
                <w:szCs w:val="17"/>
                <w:color w:val="auto"/>
              </w:rPr>
            </w:pPr>
          </w:p>
        </w:tc>
      </w:tr>
      <w:tr>
        <w:trPr>
          <w:trHeight w:val="223"/>
        </w:trPr>
        <w:tc>
          <w:tcPr>
            <w:tcW w:w="278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781"/>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9"/>
                <w:szCs w:val="19"/>
                <w:color w:val="auto"/>
              </w:rPr>
            </w:pPr>
          </w:p>
        </w:tc>
        <w:tc>
          <w:tcPr>
            <w:tcW w:w="2020" w:type="dxa"/>
            <w:vAlign w:val="bottom"/>
            <w:tcBorders>
              <w:top w:val="single" w:sz="8" w:color="auto"/>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2023</w:t>
            </w:r>
          </w:p>
        </w:tc>
      </w:tr>
      <w:tr>
        <w:trPr>
          <w:trHeight w:val="223"/>
        </w:trPr>
        <w:tc>
          <w:tcPr>
            <w:tcW w:w="27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r>
      <w:tr>
        <w:trPr>
          <w:trHeight w:val="263"/>
        </w:trPr>
        <w:tc>
          <w:tcPr>
            <w:tcW w:w="27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43"/>
        </w:trPr>
        <w:tc>
          <w:tcPr>
            <w:tcW w:w="278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Revenue:</w:t>
            </w:r>
          </w:p>
        </w:tc>
        <w:tc>
          <w:tcPr>
            <w:tcW w:w="8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r>
      <w:tr>
        <w:trPr>
          <w:trHeight w:val="235"/>
        </w:trPr>
        <w:tc>
          <w:tcPr>
            <w:tcW w:w="2780" w:type="dxa"/>
            <w:vAlign w:val="bottom"/>
          </w:tcPr>
          <w:p>
            <w:pPr>
              <w:ind w:left="240"/>
              <w:spacing w:after="0"/>
              <w:rPr>
                <w:sz w:val="20"/>
                <w:szCs w:val="20"/>
                <w:color w:val="auto"/>
              </w:rPr>
            </w:pPr>
            <w:r>
              <w:rPr>
                <w:rFonts w:ascii="Arial" w:cs="Arial" w:eastAsia="Arial" w:hAnsi="Arial"/>
                <w:sz w:val="16"/>
                <w:szCs w:val="16"/>
                <w:color w:val="auto"/>
              </w:rPr>
              <w:t>Product</w:t>
            </w:r>
          </w:p>
        </w:tc>
        <w:tc>
          <w:tcPr>
            <w:tcW w:w="840" w:type="dxa"/>
            <w:vAlign w:val="bottom"/>
          </w:tcPr>
          <w:p>
            <w:pPr>
              <w:jc w:val="right"/>
              <w:spacing w:after="0"/>
              <w:rPr>
                <w:sz w:val="20"/>
                <w:szCs w:val="20"/>
                <w:color w:val="auto"/>
              </w:rPr>
            </w:pPr>
            <w:r>
              <w:rPr>
                <w:rFonts w:ascii="Arial" w:cs="Arial" w:eastAsia="Arial" w:hAnsi="Arial"/>
                <w:sz w:val="16"/>
                <w:szCs w:val="16"/>
                <w:color w:val="auto"/>
              </w:rPr>
              <w:t>$   391.0</w:t>
            </w:r>
          </w:p>
        </w:tc>
        <w:tc>
          <w:tcPr>
            <w:tcW w:w="1480" w:type="dxa"/>
            <w:vAlign w:val="bottom"/>
            <w:gridSpan w:val="4"/>
          </w:tcPr>
          <w:p>
            <w:pPr>
              <w:jc w:val="right"/>
              <w:ind w:right="60"/>
              <w:spacing w:after="0"/>
              <w:rPr>
                <w:sz w:val="20"/>
                <w:szCs w:val="20"/>
                <w:color w:val="auto"/>
              </w:rPr>
            </w:pPr>
            <w:r>
              <w:rPr>
                <w:rFonts w:ascii="Arial" w:cs="Arial" w:eastAsia="Arial" w:hAnsi="Arial"/>
                <w:sz w:val="16"/>
                <w:szCs w:val="16"/>
                <w:color w:val="auto"/>
              </w:rPr>
              <w:t>19.7 %  $</w:t>
            </w:r>
          </w:p>
        </w:tc>
        <w:tc>
          <w:tcPr>
            <w:tcW w:w="660" w:type="dxa"/>
            <w:vAlign w:val="bottom"/>
          </w:tcPr>
          <w:p>
            <w:pPr>
              <w:jc w:val="right"/>
              <w:spacing w:after="0"/>
              <w:rPr>
                <w:sz w:val="20"/>
                <w:szCs w:val="20"/>
                <w:color w:val="auto"/>
              </w:rPr>
            </w:pPr>
            <w:r>
              <w:rPr>
                <w:rFonts w:ascii="Arial" w:cs="Arial" w:eastAsia="Arial" w:hAnsi="Arial"/>
                <w:sz w:val="16"/>
                <w:szCs w:val="16"/>
                <w:color w:val="auto"/>
              </w:rPr>
              <w:t>388.1</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22.6 %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1,122.8</w:t>
            </w:r>
          </w:p>
        </w:tc>
        <w:tc>
          <w:tcPr>
            <w:tcW w:w="10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6"/>
                <w:szCs w:val="16"/>
                <w:color w:val="auto"/>
              </w:rPr>
              <w:t>19.2 %  $</w:t>
            </w:r>
          </w:p>
        </w:tc>
        <w:tc>
          <w:tcPr>
            <w:tcW w:w="700" w:type="dxa"/>
            <w:vAlign w:val="bottom"/>
          </w:tcPr>
          <w:p>
            <w:pPr>
              <w:jc w:val="right"/>
              <w:spacing w:after="0"/>
              <w:rPr>
                <w:sz w:val="20"/>
                <w:szCs w:val="20"/>
                <w:color w:val="auto"/>
              </w:rPr>
            </w:pPr>
            <w:r>
              <w:rPr>
                <w:rFonts w:ascii="Arial" w:cs="Arial" w:eastAsia="Arial" w:hAnsi="Arial"/>
                <w:sz w:val="16"/>
                <w:szCs w:val="16"/>
                <w:color w:val="auto"/>
              </w:rPr>
              <w:t>1,071.0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21.7 %</w:t>
            </w:r>
          </w:p>
        </w:tc>
      </w:tr>
      <w:tr>
        <w:trPr>
          <w:trHeight w:val="244"/>
        </w:trPr>
        <w:tc>
          <w:tcPr>
            <w:tcW w:w="27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8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1,593.8</w:t>
            </w:r>
          </w:p>
        </w:tc>
        <w:tc>
          <w:tcPr>
            <w:tcW w:w="200" w:type="dxa"/>
            <w:vAlign w:val="bottom"/>
            <w:shd w:val="clear" w:color="auto" w:fill="E3E3E3"/>
          </w:tcPr>
          <w:p>
            <w:pPr>
              <w:spacing w:after="0"/>
              <w:rPr>
                <w:sz w:val="21"/>
                <w:szCs w:val="21"/>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80.3 %</w:t>
            </w:r>
          </w:p>
        </w:tc>
        <w:tc>
          <w:tcPr>
            <w:tcW w:w="120" w:type="dxa"/>
            <w:vAlign w:val="bottom"/>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1,332.8</w:t>
            </w:r>
          </w:p>
        </w:tc>
        <w:tc>
          <w:tcPr>
            <w:tcW w:w="20" w:type="dxa"/>
            <w:vAlign w:val="bottom"/>
            <w:tcBorders>
              <w:bottom w:val="single" w:sz="8" w:color="auto"/>
            </w:tcBorders>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77.4 %</w:t>
            </w:r>
          </w:p>
        </w:tc>
        <w:tc>
          <w:tcPr>
            <w:tcW w:w="200" w:type="dxa"/>
            <w:vAlign w:val="bottom"/>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4,715.2</w:t>
            </w: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80.8 %</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3,868.4</w:t>
            </w: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78.3 %</w:t>
            </w:r>
          </w:p>
        </w:tc>
      </w:tr>
      <w:tr>
        <w:trPr>
          <w:trHeight w:val="235"/>
        </w:trPr>
        <w:tc>
          <w:tcPr>
            <w:tcW w:w="27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840" w:type="dxa"/>
            <w:vAlign w:val="bottom"/>
          </w:tcPr>
          <w:p>
            <w:pPr>
              <w:jc w:val="right"/>
              <w:spacing w:after="0"/>
              <w:rPr>
                <w:sz w:val="20"/>
                <w:szCs w:val="20"/>
                <w:color w:val="auto"/>
              </w:rPr>
            </w:pPr>
            <w:r>
              <w:rPr>
                <w:rFonts w:ascii="Arial" w:cs="Arial" w:eastAsia="Arial" w:hAnsi="Arial"/>
                <w:sz w:val="16"/>
                <w:szCs w:val="16"/>
                <w:color w:val="auto"/>
              </w:rPr>
              <w:t>1,984.8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1,720.9</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100.0 %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5,838.0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4,939.4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51"/>
        </w:trPr>
        <w:tc>
          <w:tcPr>
            <w:tcW w:w="278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Cost of revenue:</w:t>
            </w:r>
          </w:p>
        </w:tc>
        <w:tc>
          <w:tcPr>
            <w:tcW w:w="84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66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9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r>
      <w:tr>
        <w:trPr>
          <w:trHeight w:val="235"/>
        </w:trPr>
        <w:tc>
          <w:tcPr>
            <w:tcW w:w="2780" w:type="dxa"/>
            <w:vAlign w:val="bottom"/>
          </w:tcPr>
          <w:p>
            <w:pPr>
              <w:ind w:left="240"/>
              <w:spacing w:after="0"/>
              <w:rPr>
                <w:sz w:val="20"/>
                <w:szCs w:val="20"/>
                <w:color w:val="auto"/>
              </w:rPr>
            </w:pPr>
            <w:r>
              <w:rPr>
                <w:rFonts w:ascii="Arial" w:cs="Arial" w:eastAsia="Arial" w:hAnsi="Arial"/>
                <w:sz w:val="16"/>
                <w:szCs w:val="16"/>
                <w:color w:val="auto"/>
              </w:rPr>
              <w:t>Product</w:t>
            </w:r>
          </w:p>
        </w:tc>
        <w:tc>
          <w:tcPr>
            <w:tcW w:w="840" w:type="dxa"/>
            <w:vAlign w:val="bottom"/>
          </w:tcPr>
          <w:p>
            <w:pPr>
              <w:jc w:val="right"/>
              <w:spacing w:after="0"/>
              <w:rPr>
                <w:sz w:val="20"/>
                <w:szCs w:val="20"/>
                <w:color w:val="auto"/>
              </w:rPr>
            </w:pPr>
            <w:r>
              <w:rPr>
                <w:rFonts w:ascii="Arial" w:cs="Arial" w:eastAsia="Arial" w:hAnsi="Arial"/>
                <w:sz w:val="16"/>
                <w:szCs w:val="16"/>
                <w:color w:val="auto"/>
              </w:rPr>
              <w:t>77.9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93.4</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5.4 %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6.4 %</w:t>
            </w:r>
          </w:p>
        </w:tc>
      </w:tr>
      <w:tr>
        <w:trPr>
          <w:trHeight w:val="244"/>
        </w:trPr>
        <w:tc>
          <w:tcPr>
            <w:tcW w:w="27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Subscription and support</w:t>
            </w:r>
          </w:p>
        </w:tc>
        <w:tc>
          <w:tcPr>
            <w:tcW w:w="8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435.7</w:t>
            </w:r>
          </w:p>
        </w:tc>
        <w:tc>
          <w:tcPr>
            <w:tcW w:w="200" w:type="dxa"/>
            <w:vAlign w:val="bottom"/>
            <w:shd w:val="clear" w:color="auto" w:fill="E3E3E3"/>
          </w:tcPr>
          <w:p>
            <w:pPr>
              <w:spacing w:after="0"/>
              <w:rPr>
                <w:sz w:val="21"/>
                <w:szCs w:val="21"/>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22.0 %</w:t>
            </w:r>
          </w:p>
        </w:tc>
        <w:tc>
          <w:tcPr>
            <w:tcW w:w="120" w:type="dxa"/>
            <w:vAlign w:val="bottom"/>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381.4</w:t>
            </w:r>
          </w:p>
        </w:tc>
        <w:tc>
          <w:tcPr>
            <w:tcW w:w="20" w:type="dxa"/>
            <w:vAlign w:val="bottom"/>
            <w:tcBorders>
              <w:bottom w:val="single" w:sz="8" w:color="auto"/>
            </w:tcBorders>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22.2 %</w:t>
            </w:r>
          </w:p>
        </w:tc>
        <w:tc>
          <w:tcPr>
            <w:tcW w:w="200" w:type="dxa"/>
            <w:vAlign w:val="bottom"/>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1,242.0</w:t>
            </w: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21.2 %</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1,088.9</w:t>
            </w: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22.0 %</w:t>
            </w:r>
          </w:p>
        </w:tc>
      </w:tr>
      <w:tr>
        <w:trPr>
          <w:trHeight w:val="243"/>
        </w:trPr>
        <w:tc>
          <w:tcPr>
            <w:tcW w:w="27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Total cost of revenue</w:t>
            </w:r>
            <w:r>
              <w:rPr>
                <w:rFonts w:ascii="Arial" w:cs="Arial" w:eastAsia="Arial" w:hAnsi="Arial"/>
                <w:sz w:val="21"/>
                <w:szCs w:val="21"/>
                <w:color w:val="auto"/>
                <w:vertAlign w:val="superscript"/>
              </w:rPr>
              <w:t>(1)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513.6</w:t>
            </w:r>
          </w:p>
        </w:tc>
        <w:tc>
          <w:tcPr>
            <w:tcW w:w="200" w:type="dxa"/>
            <w:vAlign w:val="bottom"/>
            <w:tcBorders>
              <w:bottom w:val="single" w:sz="8" w:color="E3E3E3"/>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25.9 %</w:t>
            </w:r>
          </w:p>
        </w:tc>
        <w:tc>
          <w:tcPr>
            <w:tcW w:w="120" w:type="dxa"/>
            <w:vAlign w:val="bottom"/>
            <w:tcBorders>
              <w:bottom w:val="single" w:sz="8" w:color="E3E3E3"/>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E3E3E3"/>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27.6 %</w:t>
            </w:r>
          </w:p>
        </w:tc>
        <w:tc>
          <w:tcPr>
            <w:tcW w:w="200" w:type="dxa"/>
            <w:vAlign w:val="bottom"/>
            <w:tcBorders>
              <w:bottom w:val="single" w:sz="8" w:color="E3E3E3"/>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1,485.5</w:t>
            </w:r>
          </w:p>
        </w:tc>
        <w:tc>
          <w:tcPr>
            <w:tcW w:w="100" w:type="dxa"/>
            <w:vAlign w:val="bottom"/>
            <w:tcBorders>
              <w:bottom w:val="single" w:sz="8" w:color="E3E3E3"/>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25.4 %</w:t>
            </w:r>
          </w:p>
        </w:tc>
        <w:tc>
          <w:tcPr>
            <w:tcW w:w="100" w:type="dxa"/>
            <w:vAlign w:val="bottom"/>
            <w:tcBorders>
              <w:bottom w:val="single" w:sz="8" w:color="E3E3E3"/>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1,402.9</w:t>
            </w:r>
          </w:p>
        </w:tc>
        <w:tc>
          <w:tcPr>
            <w:tcW w:w="100" w:type="dxa"/>
            <w:vAlign w:val="bottom"/>
            <w:tcBorders>
              <w:bottom w:val="single" w:sz="8" w:color="E3E3E3"/>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28.4 %</w:t>
            </w:r>
          </w:p>
        </w:tc>
      </w:tr>
      <w:tr>
        <w:trPr>
          <w:trHeight w:val="236"/>
        </w:trPr>
        <w:tc>
          <w:tcPr>
            <w:tcW w:w="2780" w:type="dxa"/>
            <w:vAlign w:val="bottom"/>
            <w:shd w:val="clear" w:color="auto" w:fill="E3E3E3"/>
          </w:tcPr>
          <w:p>
            <w:pPr>
              <w:ind w:left="20"/>
              <w:spacing w:after="0"/>
              <w:rPr>
                <w:sz w:val="20"/>
                <w:szCs w:val="20"/>
                <w:color w:val="auto"/>
              </w:rPr>
            </w:pPr>
            <w:r>
              <w:rPr>
                <w:rFonts w:ascii="Arial" w:cs="Arial" w:eastAsia="Arial" w:hAnsi="Arial"/>
                <w:sz w:val="16"/>
                <w:szCs w:val="16"/>
                <w:color w:val="auto"/>
              </w:rPr>
              <w:t>Total gross profit</w:t>
            </w:r>
          </w:p>
        </w:tc>
        <w:tc>
          <w:tcPr>
            <w:tcW w:w="8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1,471.2</w:t>
            </w:r>
          </w:p>
        </w:tc>
        <w:tc>
          <w:tcPr>
            <w:tcW w:w="120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74.1 %</w:t>
            </w:r>
          </w:p>
        </w:tc>
        <w:tc>
          <w:tcPr>
            <w:tcW w:w="1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1,246.1</w:t>
            </w:r>
          </w:p>
        </w:tc>
        <w:tc>
          <w:tcPr>
            <w:tcW w:w="1140" w:type="dxa"/>
            <w:vAlign w:val="bottom"/>
            <w:gridSpan w:val="3"/>
            <w:shd w:val="clear" w:color="auto" w:fill="E3E3E3"/>
          </w:tcPr>
          <w:p>
            <w:pPr>
              <w:jc w:val="right"/>
              <w:spacing w:after="0"/>
              <w:rPr>
                <w:sz w:val="20"/>
                <w:szCs w:val="20"/>
                <w:color w:val="auto"/>
              </w:rPr>
            </w:pPr>
            <w:r>
              <w:rPr>
                <w:rFonts w:ascii="Arial" w:cs="Arial" w:eastAsia="Arial" w:hAnsi="Arial"/>
                <w:sz w:val="16"/>
                <w:szCs w:val="16"/>
                <w:color w:val="auto"/>
              </w:rPr>
              <w:t>72.4 %</w:t>
            </w:r>
          </w:p>
        </w:tc>
        <w:tc>
          <w:tcPr>
            <w:tcW w:w="200" w:type="dxa"/>
            <w:vAlign w:val="bottom"/>
            <w:shd w:val="clear" w:color="auto" w:fill="E3E3E3"/>
          </w:tcPr>
          <w:p>
            <w:pPr>
              <w:spacing w:after="0"/>
              <w:rPr>
                <w:sz w:val="20"/>
                <w:szCs w:val="20"/>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4,352.5</w:t>
            </w:r>
          </w:p>
        </w:tc>
        <w:tc>
          <w:tcPr>
            <w:tcW w:w="100" w:type="dxa"/>
            <w:vAlign w:val="bottom"/>
            <w:shd w:val="clear" w:color="auto" w:fill="E3E3E3"/>
          </w:tcPr>
          <w:p>
            <w:pPr>
              <w:spacing w:after="0"/>
              <w:rPr>
                <w:sz w:val="20"/>
                <w:szCs w:val="20"/>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74.6 %</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3,536.5</w:t>
            </w:r>
          </w:p>
        </w:tc>
        <w:tc>
          <w:tcPr>
            <w:tcW w:w="100" w:type="dxa"/>
            <w:vAlign w:val="bottom"/>
            <w:shd w:val="clear" w:color="auto" w:fill="E3E3E3"/>
          </w:tcPr>
          <w:p>
            <w:pPr>
              <w:spacing w:after="0"/>
              <w:rPr>
                <w:sz w:val="20"/>
                <w:szCs w:val="20"/>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71.6 %</w:t>
            </w:r>
          </w:p>
        </w:tc>
      </w:tr>
      <w:tr>
        <w:trPr>
          <w:trHeight w:val="235"/>
        </w:trPr>
        <w:tc>
          <w:tcPr>
            <w:tcW w:w="27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1"/>
        </w:trPr>
        <w:tc>
          <w:tcPr>
            <w:tcW w:w="27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Research and development</w:t>
            </w:r>
          </w:p>
        </w:tc>
        <w:tc>
          <w:tcPr>
            <w:tcW w:w="8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457.2</w:t>
            </w:r>
          </w:p>
        </w:tc>
        <w:tc>
          <w:tcPr>
            <w:tcW w:w="120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23.0 %</w:t>
            </w:r>
          </w:p>
        </w:tc>
        <w:tc>
          <w:tcPr>
            <w:tcW w:w="120" w:type="dxa"/>
            <w:vAlign w:val="bottom"/>
            <w:shd w:val="clear" w:color="auto" w:fill="E3E3E3"/>
          </w:tcPr>
          <w:p>
            <w:pPr>
              <w:spacing w:after="0"/>
              <w:rPr>
                <w:sz w:val="21"/>
                <w:szCs w:val="21"/>
                <w:color w:val="auto"/>
              </w:rPr>
            </w:pPr>
          </w:p>
        </w:tc>
        <w:tc>
          <w:tcPr>
            <w:tcW w:w="16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413.7</w:t>
            </w:r>
          </w:p>
        </w:tc>
        <w:tc>
          <w:tcPr>
            <w:tcW w:w="1140" w:type="dxa"/>
            <w:vAlign w:val="bottom"/>
            <w:gridSpan w:val="3"/>
            <w:shd w:val="clear" w:color="auto" w:fill="E3E3E3"/>
          </w:tcPr>
          <w:p>
            <w:pPr>
              <w:jc w:val="right"/>
              <w:spacing w:after="0"/>
              <w:rPr>
                <w:sz w:val="20"/>
                <w:szCs w:val="20"/>
                <w:color w:val="auto"/>
              </w:rPr>
            </w:pPr>
            <w:r>
              <w:rPr>
                <w:rFonts w:ascii="Arial" w:cs="Arial" w:eastAsia="Arial" w:hAnsi="Arial"/>
                <w:sz w:val="16"/>
                <w:szCs w:val="16"/>
                <w:color w:val="auto"/>
              </w:rPr>
              <w:t>24.0 %</w:t>
            </w:r>
          </w:p>
        </w:tc>
        <w:tc>
          <w:tcPr>
            <w:tcW w:w="200" w:type="dxa"/>
            <w:vAlign w:val="bottom"/>
            <w:shd w:val="clear" w:color="auto" w:fill="E3E3E3"/>
          </w:tcPr>
          <w:p>
            <w:pPr>
              <w:spacing w:after="0"/>
              <w:rPr>
                <w:sz w:val="21"/>
                <w:szCs w:val="21"/>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1,314.6</w:t>
            </w: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22.5 %</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1,189.6</w:t>
            </w:r>
          </w:p>
        </w:tc>
        <w:tc>
          <w:tcPr>
            <w:tcW w:w="10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24.1 %</w:t>
            </w:r>
          </w:p>
        </w:tc>
      </w:tr>
      <w:tr>
        <w:trPr>
          <w:trHeight w:val="235"/>
        </w:trPr>
        <w:tc>
          <w:tcPr>
            <w:tcW w:w="278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840" w:type="dxa"/>
            <w:vAlign w:val="bottom"/>
          </w:tcPr>
          <w:p>
            <w:pPr>
              <w:jc w:val="right"/>
              <w:spacing w:after="0"/>
              <w:rPr>
                <w:sz w:val="20"/>
                <w:szCs w:val="20"/>
                <w:color w:val="auto"/>
              </w:rPr>
            </w:pPr>
            <w:r>
              <w:rPr>
                <w:rFonts w:ascii="Arial" w:cs="Arial" w:eastAsia="Arial" w:hAnsi="Arial"/>
                <w:sz w:val="16"/>
                <w:szCs w:val="16"/>
                <w:color w:val="auto"/>
              </w:rPr>
              <w:t>718.7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36.2 %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639.5</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37.2 %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2,052.2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1,880.0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38.1 %</w:t>
            </w:r>
          </w:p>
        </w:tc>
      </w:tr>
      <w:tr>
        <w:trPr>
          <w:trHeight w:val="244"/>
        </w:trPr>
        <w:tc>
          <w:tcPr>
            <w:tcW w:w="2780" w:type="dxa"/>
            <w:vAlign w:val="bottom"/>
            <w:shd w:val="clear" w:color="auto" w:fill="E3E3E3"/>
          </w:tcPr>
          <w:p>
            <w:pPr>
              <w:ind w:left="240"/>
              <w:spacing w:after="0"/>
              <w:rPr>
                <w:sz w:val="20"/>
                <w:szCs w:val="20"/>
                <w:color w:val="auto"/>
              </w:rPr>
            </w:pPr>
            <w:r>
              <w:rPr>
                <w:rFonts w:ascii="Arial" w:cs="Arial" w:eastAsia="Arial" w:hAnsi="Arial"/>
                <w:sz w:val="16"/>
                <w:szCs w:val="16"/>
                <w:color w:val="auto"/>
              </w:rPr>
              <w:t>General and administrative</w:t>
            </w:r>
          </w:p>
        </w:tc>
        <w:tc>
          <w:tcPr>
            <w:tcW w:w="8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118.6</w:t>
            </w:r>
          </w:p>
        </w:tc>
        <w:tc>
          <w:tcPr>
            <w:tcW w:w="200" w:type="dxa"/>
            <w:vAlign w:val="bottom"/>
            <w:shd w:val="clear" w:color="auto" w:fill="E3E3E3"/>
          </w:tcPr>
          <w:p>
            <w:pPr>
              <w:spacing w:after="0"/>
              <w:rPr>
                <w:sz w:val="21"/>
                <w:szCs w:val="21"/>
                <w:color w:val="auto"/>
              </w:rPr>
            </w:pPr>
          </w:p>
        </w:tc>
        <w:tc>
          <w:tcPr>
            <w:tcW w:w="10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6.0 %</w:t>
            </w:r>
          </w:p>
        </w:tc>
        <w:tc>
          <w:tcPr>
            <w:tcW w:w="120" w:type="dxa"/>
            <w:vAlign w:val="bottom"/>
            <w:shd w:val="clear" w:color="auto" w:fill="E3E3E3"/>
          </w:tcPr>
          <w:p>
            <w:pPr>
              <w:spacing w:after="0"/>
              <w:rPr>
                <w:sz w:val="21"/>
                <w:szCs w:val="21"/>
                <w:color w:val="auto"/>
              </w:rPr>
            </w:pPr>
          </w:p>
        </w:tc>
        <w:tc>
          <w:tcPr>
            <w:tcW w:w="16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114.2</w:t>
            </w:r>
          </w:p>
        </w:tc>
        <w:tc>
          <w:tcPr>
            <w:tcW w:w="20" w:type="dxa"/>
            <w:vAlign w:val="bottom"/>
            <w:tcBorders>
              <w:bottom w:val="single" w:sz="8" w:color="auto"/>
            </w:tcBorders>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6.6 %</w:t>
            </w:r>
          </w:p>
        </w:tc>
        <w:tc>
          <w:tcPr>
            <w:tcW w:w="200" w:type="dxa"/>
            <w:vAlign w:val="bottom"/>
            <w:shd w:val="clear" w:color="auto" w:fill="E3E3E3"/>
          </w:tcPr>
          <w:p>
            <w:pPr>
              <w:spacing w:after="0"/>
              <w:rPr>
                <w:sz w:val="21"/>
                <w:szCs w:val="21"/>
                <w:color w:val="auto"/>
              </w:rPr>
            </w:pPr>
          </w:p>
        </w:tc>
        <w:tc>
          <w:tcPr>
            <w:tcW w:w="9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540.2</w:t>
            </w: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333.1</w:t>
            </w:r>
          </w:p>
        </w:tc>
        <w:tc>
          <w:tcPr>
            <w:tcW w:w="100" w:type="dxa"/>
            <w:vAlign w:val="bottom"/>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6.7 %</w:t>
            </w:r>
          </w:p>
        </w:tc>
      </w:tr>
      <w:tr>
        <w:trPr>
          <w:trHeight w:val="243"/>
        </w:trPr>
        <w:tc>
          <w:tcPr>
            <w:tcW w:w="27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Total operating expenses</w:t>
            </w:r>
            <w:r>
              <w:rPr>
                <w:rFonts w:ascii="Arial" w:cs="Arial" w:eastAsia="Arial" w:hAnsi="Arial"/>
                <w:sz w:val="21"/>
                <w:szCs w:val="21"/>
                <w:color w:val="auto"/>
                <w:vertAlign w:val="superscript"/>
              </w:rPr>
              <w:t>(1)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1,294.5</w:t>
            </w:r>
          </w:p>
        </w:tc>
        <w:tc>
          <w:tcPr>
            <w:tcW w:w="200" w:type="dxa"/>
            <w:vAlign w:val="bottom"/>
            <w:tcBorders>
              <w:bottom w:val="single" w:sz="8" w:color="E3E3E3"/>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65.2 %</w:t>
            </w:r>
          </w:p>
        </w:tc>
        <w:tc>
          <w:tcPr>
            <w:tcW w:w="120" w:type="dxa"/>
            <w:vAlign w:val="bottom"/>
            <w:tcBorders>
              <w:bottom w:val="single" w:sz="8" w:color="E3E3E3"/>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E3E3E3"/>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67.8 %</w:t>
            </w:r>
          </w:p>
        </w:tc>
        <w:tc>
          <w:tcPr>
            <w:tcW w:w="200" w:type="dxa"/>
            <w:vAlign w:val="bottom"/>
            <w:tcBorders>
              <w:bottom w:val="single" w:sz="8" w:color="E3E3E3"/>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3,907.0</w:t>
            </w:r>
          </w:p>
        </w:tc>
        <w:tc>
          <w:tcPr>
            <w:tcW w:w="100" w:type="dxa"/>
            <w:vAlign w:val="bottom"/>
            <w:tcBorders>
              <w:bottom w:val="single" w:sz="8" w:color="E3E3E3"/>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67.0 %</w:t>
            </w:r>
          </w:p>
        </w:tc>
        <w:tc>
          <w:tcPr>
            <w:tcW w:w="100" w:type="dxa"/>
            <w:vAlign w:val="bottom"/>
            <w:tcBorders>
              <w:bottom w:val="single" w:sz="8" w:color="E3E3E3"/>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3,402.7</w:t>
            </w:r>
          </w:p>
        </w:tc>
        <w:tc>
          <w:tcPr>
            <w:tcW w:w="100" w:type="dxa"/>
            <w:vAlign w:val="bottom"/>
            <w:tcBorders>
              <w:bottom w:val="single" w:sz="8" w:color="E3E3E3"/>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68.9 %</w:t>
            </w:r>
          </w:p>
        </w:tc>
      </w:tr>
      <w:tr>
        <w:trPr>
          <w:trHeight w:val="237"/>
        </w:trPr>
        <w:tc>
          <w:tcPr>
            <w:tcW w:w="2780" w:type="dxa"/>
            <w:vAlign w:val="bottom"/>
            <w:shd w:val="clear" w:color="auto" w:fill="E3E3E3"/>
          </w:tcPr>
          <w:p>
            <w:pPr>
              <w:ind w:left="20"/>
              <w:spacing w:after="0"/>
              <w:rPr>
                <w:sz w:val="20"/>
                <w:szCs w:val="20"/>
                <w:color w:val="auto"/>
              </w:rPr>
            </w:pPr>
            <w:r>
              <w:rPr>
                <w:rFonts w:ascii="Arial" w:cs="Arial" w:eastAsia="Arial" w:hAnsi="Arial"/>
                <w:sz w:val="16"/>
                <w:szCs w:val="16"/>
                <w:color w:val="auto"/>
              </w:rPr>
              <w:t>Operating income</w:t>
            </w:r>
          </w:p>
        </w:tc>
        <w:tc>
          <w:tcPr>
            <w:tcW w:w="8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176.7</w:t>
            </w:r>
          </w:p>
        </w:tc>
        <w:tc>
          <w:tcPr>
            <w:tcW w:w="120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78.7</w:t>
            </w:r>
          </w:p>
        </w:tc>
        <w:tc>
          <w:tcPr>
            <w:tcW w:w="1140" w:type="dxa"/>
            <w:vAlign w:val="bottom"/>
            <w:gridSpan w:val="3"/>
            <w:shd w:val="clear" w:color="auto" w:fill="E3E3E3"/>
          </w:tcPr>
          <w:p>
            <w:pPr>
              <w:jc w:val="right"/>
              <w:spacing w:after="0"/>
              <w:rPr>
                <w:sz w:val="20"/>
                <w:szCs w:val="20"/>
                <w:color w:val="auto"/>
              </w:rPr>
            </w:pPr>
            <w:r>
              <w:rPr>
                <w:rFonts w:ascii="Arial" w:cs="Arial" w:eastAsia="Arial" w:hAnsi="Arial"/>
                <w:sz w:val="16"/>
                <w:szCs w:val="16"/>
                <w:color w:val="auto"/>
              </w:rPr>
              <w:t>4.6 %</w:t>
            </w:r>
          </w:p>
        </w:tc>
        <w:tc>
          <w:tcPr>
            <w:tcW w:w="200" w:type="dxa"/>
            <w:vAlign w:val="bottom"/>
            <w:shd w:val="clear" w:color="auto" w:fill="E3E3E3"/>
          </w:tcPr>
          <w:p>
            <w:pPr>
              <w:spacing w:after="0"/>
              <w:rPr>
                <w:sz w:val="20"/>
                <w:szCs w:val="20"/>
                <w:color w:val="auto"/>
              </w:rPr>
            </w:pPr>
          </w:p>
        </w:tc>
        <w:tc>
          <w:tcPr>
            <w:tcW w:w="9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E3E3E3"/>
          </w:tcPr>
          <w:p>
            <w:pPr>
              <w:spacing w:after="0"/>
              <w:rPr>
                <w:sz w:val="20"/>
                <w:szCs w:val="20"/>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133.8</w:t>
            </w:r>
          </w:p>
        </w:tc>
        <w:tc>
          <w:tcPr>
            <w:tcW w:w="100" w:type="dxa"/>
            <w:vAlign w:val="bottom"/>
            <w:shd w:val="clear" w:color="auto" w:fill="E3E3E3"/>
          </w:tcPr>
          <w:p>
            <w:pPr>
              <w:spacing w:after="0"/>
              <w:rPr>
                <w:sz w:val="20"/>
                <w:szCs w:val="20"/>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2.7 %</w:t>
            </w:r>
          </w:p>
        </w:tc>
      </w:tr>
    </w:tbl>
    <w:p>
      <w:pPr>
        <w:spacing w:after="0" w:line="13" w:lineRule="exact"/>
        <w:rPr>
          <w:sz w:val="20"/>
          <w:szCs w:val="20"/>
          <w:color w:val="auto"/>
        </w:rPr>
      </w:pPr>
    </w:p>
    <w:p>
      <w:pPr>
        <w:sectPr>
          <w:pgSz w:w="11900" w:h="16838" w:orient="portrait"/>
          <w:cols w:equalWidth="0" w:num="1">
            <w:col w:w="11240"/>
          </w:cols>
          <w:pgMar w:left="320" w:top="233" w:right="339" w:bottom="1440" w:gutter="0" w:footer="0" w:header="0"/>
        </w:sectPr>
      </w:pPr>
    </w:p>
    <w:p>
      <w:pPr>
        <w:ind w:left="20"/>
        <w:spacing w:after="0"/>
        <w:rPr>
          <w:sz w:val="20"/>
          <w:szCs w:val="20"/>
          <w:color w:val="auto"/>
        </w:rPr>
      </w:pPr>
      <w:r>
        <w:rPr>
          <w:rFonts w:ascii="Arial" w:cs="Arial" w:eastAsia="Arial" w:hAnsi="Arial"/>
          <w:sz w:val="16"/>
          <w:szCs w:val="16"/>
          <w:color w:val="auto"/>
        </w:rPr>
        <w:t>Interest expense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before income taxes</w:t>
      </w:r>
    </w:p>
    <w:p>
      <w:pPr>
        <w:spacing w:after="0" w:line="59"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Provision for (benefit from) income taxes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52"/>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2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r>
      <w:tr>
        <w:trPr>
          <w:trHeight w:val="228"/>
        </w:trPr>
        <w:tc>
          <w:tcPr>
            <w:tcW w:w="840" w:type="dxa"/>
            <w:vAlign w:val="bottom"/>
          </w:tcPr>
          <w:p>
            <w:pPr>
              <w:jc w:val="right"/>
              <w:spacing w:after="0"/>
              <w:rPr>
                <w:sz w:val="20"/>
                <w:szCs w:val="20"/>
                <w:color w:val="auto"/>
              </w:rPr>
            </w:pPr>
            <w:r>
              <w:rPr>
                <w:rFonts w:ascii="Arial" w:cs="Arial" w:eastAsia="Arial" w:hAnsi="Arial"/>
                <w:sz w:val="16"/>
                <w:szCs w:val="16"/>
                <w:color w:val="auto"/>
              </w:rPr>
              <w:t>251.2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669.3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454"/>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2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(1,550.6)</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r>
      <w:tr>
        <w:trPr>
          <w:trHeight w:val="237"/>
        </w:trPr>
        <w:tc>
          <w:tcPr>
            <w:tcW w:w="840" w:type="dxa"/>
            <w:vAlign w:val="bottom"/>
          </w:tcPr>
          <w:p>
            <w:pPr>
              <w:jc w:val="right"/>
              <w:spacing w:after="0"/>
              <w:rPr>
                <w:sz w:val="20"/>
                <w:szCs w:val="20"/>
                <w:color w:val="auto"/>
              </w:rPr>
            </w:pPr>
            <w:r>
              <w:rPr>
                <w:rFonts w:ascii="Arial" w:cs="Arial" w:eastAsia="Arial" w:hAnsi="Arial"/>
                <w:sz w:val="16"/>
                <w:szCs w:val="16"/>
                <w:color w:val="auto"/>
              </w:rPr>
              <w:t>$   278.8</w:t>
            </w:r>
          </w:p>
        </w:tc>
        <w:tc>
          <w:tcPr>
            <w:tcW w:w="200" w:type="dxa"/>
            <w:vAlign w:val="bottom"/>
          </w:tcPr>
          <w:p>
            <w:pPr>
              <w:spacing w:after="0"/>
              <w:rPr>
                <w:sz w:val="20"/>
                <w:szCs w:val="20"/>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14.0 %  $</w:t>
            </w:r>
          </w:p>
        </w:tc>
        <w:tc>
          <w:tcPr>
            <w:tcW w:w="620" w:type="dxa"/>
            <w:vAlign w:val="bottom"/>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  2,219.9</w:t>
            </w:r>
          </w:p>
        </w:tc>
        <w:tc>
          <w:tcPr>
            <w:tcW w:w="10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6"/>
                <w:szCs w:val="16"/>
                <w:color w:val="auto"/>
              </w:rPr>
              <w:t>38.0 %  $</w:t>
            </w:r>
          </w:p>
        </w:tc>
        <w:tc>
          <w:tcPr>
            <w:tcW w:w="640" w:type="dxa"/>
            <w:vAlign w:val="bottom"/>
          </w:tcPr>
          <w:p>
            <w:pPr>
              <w:jc w:val="right"/>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7"/>
        </w:trPr>
        <w:tc>
          <w:tcPr>
            <w:tcW w:w="8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-796290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-479425</wp:posOffset>
            </wp:positionV>
            <wp:extent cx="7132320" cy="282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2500" w:space="280"/>
            <w:col w:w="8460"/>
          </w:cols>
          <w:pgMar w:left="320" w:top="233" w:right="339" w:bottom="1440" w:gutter="0" w:footer="0" w:header="0"/>
          <w:type w:val="continuous"/>
        </w:sect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4"/>
          <w:szCs w:val="14"/>
          <w:color w:val="auto"/>
        </w:rPr>
        <w:t>Includes share-based compensation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 April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2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rPr>
              <w:t>Nine Months Ended April 30,</w:t>
            </w:r>
          </w:p>
        </w:tc>
        <w:tc>
          <w:tcPr>
            <w:tcW w:w="540" w:type="dxa"/>
            <w:vAlign w:val="bottom"/>
          </w:tcPr>
          <w:p>
            <w:pPr>
              <w:spacing w:after="0"/>
              <w:rPr>
                <w:sz w:val="14"/>
                <w:szCs w:val="14"/>
                <w:color w:val="auto"/>
              </w:rPr>
            </w:pPr>
          </w:p>
        </w:tc>
      </w:tr>
      <w:tr>
        <w:trPr>
          <w:trHeight w:val="22"/>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74"/>
        </w:trPr>
        <w:tc>
          <w:tcPr>
            <w:tcW w:w="5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r>
      <w:tr>
        <w:trPr>
          <w:trHeight w:val="22"/>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5"/>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3"/>
          </w:tcPr>
          <w:p>
            <w:pPr>
              <w:jc w:val="center"/>
              <w:ind w:left="90"/>
              <w:spacing w:after="0"/>
              <w:rPr>
                <w:sz w:val="20"/>
                <w:szCs w:val="20"/>
                <w:color w:val="auto"/>
              </w:rPr>
            </w:pPr>
            <w:r>
              <w:rPr>
                <w:rFonts w:ascii="Arial" w:cs="Arial" w:eastAsia="Arial" w:hAnsi="Arial"/>
                <w:sz w:val="13"/>
                <w:szCs w:val="13"/>
                <w:b w:val="1"/>
                <w:bCs w:val="1"/>
                <w:color w:val="auto"/>
                <w:w w:val="95"/>
              </w:rPr>
              <w:t>(in millions)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
        </w:trPr>
        <w:tc>
          <w:tcPr>
            <w:tcW w:w="5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3"/>
        </w:trPr>
        <w:tc>
          <w:tcPr>
            <w:tcW w:w="538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4"/>
                <w:szCs w:val="14"/>
                <w:color w:val="auto"/>
              </w:rPr>
              <w:t>Cost of product revenue</w:t>
            </w:r>
          </w:p>
        </w:tc>
        <w:tc>
          <w:tcPr>
            <w:tcW w:w="300" w:type="dxa"/>
            <w:vAlign w:val="bottom"/>
            <w:tcBorders>
              <w:bottom w:val="single" w:sz="8" w:color="E3E3E3"/>
            </w:tcBorders>
            <w:shd w:val="clear" w:color="auto" w:fill="E3E3E3"/>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E3E3E3"/>
            </w:tcBorders>
            <w:shd w:val="clear" w:color="auto" w:fill="E3E3E3"/>
          </w:tcPr>
          <w:p>
            <w:pPr>
              <w:spacing w:after="0"/>
              <w:rPr>
                <w:sz w:val="17"/>
                <w:szCs w:val="17"/>
                <w:color w:val="auto"/>
              </w:rPr>
            </w:pPr>
          </w:p>
        </w:tc>
        <w:tc>
          <w:tcPr>
            <w:tcW w:w="860" w:type="dxa"/>
            <w:vAlign w:val="bottom"/>
            <w:tcBorders>
              <w:bottom w:val="single" w:sz="8" w:color="E3E3E3"/>
            </w:tcBorders>
            <w:shd w:val="clear" w:color="auto" w:fill="E3E3E3"/>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E3E3E3"/>
            </w:tcBorders>
            <w:shd w:val="clear" w:color="auto" w:fill="E3E3E3"/>
          </w:tcPr>
          <w:p>
            <w:pPr>
              <w:jc w:val="right"/>
              <w:ind w:right="10"/>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E3E3E3"/>
            </w:tcBorders>
            <w:shd w:val="clear" w:color="auto" w:fill="E3E3E3"/>
          </w:tcPr>
          <w:p>
            <w:pPr>
              <w:spacing w:after="0"/>
              <w:rPr>
                <w:sz w:val="17"/>
                <w:szCs w:val="17"/>
                <w:color w:val="auto"/>
              </w:rPr>
            </w:pPr>
          </w:p>
        </w:tc>
        <w:tc>
          <w:tcPr>
            <w:tcW w:w="540" w:type="dxa"/>
            <w:vAlign w:val="bottom"/>
            <w:tcBorders>
              <w:bottom w:val="single" w:sz="8" w:color="E3E3E3"/>
            </w:tcBorders>
            <w:shd w:val="clear" w:color="auto" w:fill="E3E3E3"/>
          </w:tcPr>
          <w:p>
            <w:pPr>
              <w:jc w:val="center"/>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E3E3E3"/>
            </w:tcBorders>
            <w:shd w:val="clear" w:color="auto" w:fill="E3E3E3"/>
          </w:tcPr>
          <w:p>
            <w:pPr>
              <w:spacing w:after="0"/>
              <w:rPr>
                <w:sz w:val="17"/>
                <w:szCs w:val="17"/>
                <w:color w:val="auto"/>
              </w:rPr>
            </w:pPr>
          </w:p>
        </w:tc>
        <w:tc>
          <w:tcPr>
            <w:tcW w:w="900" w:type="dxa"/>
            <w:vAlign w:val="bottom"/>
            <w:tcBorders>
              <w:bottom w:val="single" w:sz="8" w:color="E3E3E3"/>
            </w:tcBorders>
            <w:shd w:val="clear" w:color="auto" w:fill="E3E3E3"/>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4"/>
                <w:szCs w:val="14"/>
                <w:color w:val="auto"/>
              </w:rPr>
              <w:t>7.5</w:t>
            </w:r>
          </w:p>
        </w:tc>
      </w:tr>
      <w:tr>
        <w:trPr>
          <w:trHeight w:val="208"/>
        </w:trPr>
        <w:tc>
          <w:tcPr>
            <w:tcW w:w="5380" w:type="dxa"/>
            <w:vAlign w:val="bottom"/>
          </w:tcPr>
          <w:p>
            <w:pPr>
              <w:ind w:left="20"/>
              <w:spacing w:after="0"/>
              <w:rPr>
                <w:sz w:val="20"/>
                <w:szCs w:val="20"/>
                <w:color w:val="auto"/>
              </w:rPr>
            </w:pPr>
            <w:r>
              <w:rPr>
                <w:rFonts w:ascii="Arial" w:cs="Arial" w:eastAsia="Arial" w:hAnsi="Arial"/>
                <w:sz w:val="14"/>
                <w:szCs w:val="14"/>
                <w:color w:val="auto"/>
              </w:rPr>
              <w:t>Cost of subscription and support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91.5</w:t>
            </w:r>
          </w:p>
        </w:tc>
      </w:tr>
      <w:tr>
        <w:trPr>
          <w:trHeight w:val="22"/>
        </w:trPr>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538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tcBorders>
              <w:bottom w:val="single" w:sz="8" w:color="E3E3E3"/>
            </w:tcBorders>
            <w:shd w:val="clear" w:color="auto" w:fill="E3E3E3"/>
          </w:tcPr>
          <w:p>
            <w:pPr>
              <w:spacing w:after="0"/>
              <w:rPr>
                <w:sz w:val="18"/>
                <w:szCs w:val="18"/>
                <w:color w:val="auto"/>
              </w:rPr>
            </w:pPr>
          </w:p>
        </w:tc>
        <w:tc>
          <w:tcPr>
            <w:tcW w:w="10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4"/>
                <w:szCs w:val="14"/>
                <w:color w:val="auto"/>
              </w:rPr>
              <w:t>128.2</w:t>
            </w:r>
          </w:p>
        </w:tc>
        <w:tc>
          <w:tcPr>
            <w:tcW w:w="120" w:type="dxa"/>
            <w:vAlign w:val="bottom"/>
            <w:tcBorders>
              <w:bottom w:val="single" w:sz="8" w:color="E3E3E3"/>
            </w:tcBorders>
            <w:shd w:val="clear" w:color="auto" w:fill="E3E3E3"/>
          </w:tcPr>
          <w:p>
            <w:pPr>
              <w:spacing w:after="0"/>
              <w:rPr>
                <w:sz w:val="18"/>
                <w:szCs w:val="18"/>
                <w:color w:val="auto"/>
              </w:rPr>
            </w:pPr>
          </w:p>
        </w:tc>
        <w:tc>
          <w:tcPr>
            <w:tcW w:w="860" w:type="dxa"/>
            <w:vAlign w:val="bottom"/>
            <w:tcBorders>
              <w:bottom w:val="single" w:sz="8" w:color="E3E3E3"/>
            </w:tcBorders>
            <w:shd w:val="clear" w:color="auto" w:fill="E3E3E3"/>
          </w:tcPr>
          <w:p>
            <w:pPr>
              <w:spacing w:after="0"/>
              <w:rPr>
                <w:sz w:val="18"/>
                <w:szCs w:val="18"/>
                <w:color w:val="auto"/>
              </w:rPr>
            </w:pPr>
          </w:p>
        </w:tc>
        <w:tc>
          <w:tcPr>
            <w:tcW w:w="460" w:type="dxa"/>
            <w:vAlign w:val="bottom"/>
            <w:tcBorders>
              <w:bottom w:val="single" w:sz="8" w:color="E3E3E3"/>
            </w:tcBorders>
            <w:shd w:val="clear" w:color="auto" w:fill="E3E3E3"/>
          </w:tcPr>
          <w:p>
            <w:pPr>
              <w:jc w:val="right"/>
              <w:ind w:right="10"/>
              <w:spacing w:after="0"/>
              <w:rPr>
                <w:sz w:val="20"/>
                <w:szCs w:val="20"/>
                <w:color w:val="auto"/>
              </w:rPr>
            </w:pPr>
            <w:r>
              <w:rPr>
                <w:rFonts w:ascii="Arial" w:cs="Arial" w:eastAsia="Arial" w:hAnsi="Arial"/>
                <w:sz w:val="14"/>
                <w:szCs w:val="14"/>
                <w:color w:val="auto"/>
              </w:rPr>
              <w:t>125.4</w:t>
            </w:r>
          </w:p>
        </w:tc>
        <w:tc>
          <w:tcPr>
            <w:tcW w:w="100" w:type="dxa"/>
            <w:vAlign w:val="bottom"/>
            <w:tcBorders>
              <w:bottom w:val="single" w:sz="8" w:color="E3E3E3"/>
            </w:tcBorders>
            <w:shd w:val="clear" w:color="auto" w:fill="E3E3E3"/>
          </w:tcPr>
          <w:p>
            <w:pPr>
              <w:spacing w:after="0"/>
              <w:rPr>
                <w:sz w:val="18"/>
                <w:szCs w:val="18"/>
                <w:color w:val="auto"/>
              </w:rPr>
            </w:pPr>
          </w:p>
        </w:tc>
        <w:tc>
          <w:tcPr>
            <w:tcW w:w="540" w:type="dxa"/>
            <w:vAlign w:val="bottom"/>
            <w:tcBorders>
              <w:bottom w:val="single" w:sz="8" w:color="E3E3E3"/>
            </w:tcBorders>
            <w:shd w:val="clear" w:color="auto" w:fill="E3E3E3"/>
          </w:tcPr>
          <w:p>
            <w:pPr>
              <w:spacing w:after="0"/>
              <w:rPr>
                <w:sz w:val="18"/>
                <w:szCs w:val="18"/>
                <w:color w:val="auto"/>
              </w:rPr>
            </w:pPr>
          </w:p>
        </w:tc>
        <w:tc>
          <w:tcPr>
            <w:tcW w:w="90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4"/>
                <w:szCs w:val="14"/>
                <w:color w:val="auto"/>
              </w:rPr>
              <w:t>386.9</w:t>
            </w:r>
          </w:p>
        </w:tc>
        <w:tc>
          <w:tcPr>
            <w:tcW w:w="120" w:type="dxa"/>
            <w:vAlign w:val="bottom"/>
            <w:tcBorders>
              <w:bottom w:val="single" w:sz="8" w:color="E3E3E3"/>
            </w:tcBorders>
            <w:shd w:val="clear" w:color="auto" w:fill="E3E3E3"/>
          </w:tcPr>
          <w:p>
            <w:pPr>
              <w:spacing w:after="0"/>
              <w:rPr>
                <w:sz w:val="18"/>
                <w:szCs w:val="18"/>
                <w:color w:val="auto"/>
              </w:rPr>
            </w:pPr>
          </w:p>
        </w:tc>
        <w:tc>
          <w:tcPr>
            <w:tcW w:w="900" w:type="dxa"/>
            <w:vAlign w:val="bottom"/>
            <w:tcBorders>
              <w:bottom w:val="single" w:sz="8" w:color="E3E3E3"/>
            </w:tcBorders>
            <w:shd w:val="clear" w:color="auto" w:fill="E3E3E3"/>
          </w:tcPr>
          <w:p>
            <w:pPr>
              <w:spacing w:after="0"/>
              <w:rPr>
                <w:sz w:val="18"/>
                <w:szCs w:val="18"/>
                <w:color w:val="auto"/>
              </w:rPr>
            </w:pPr>
          </w:p>
        </w:tc>
        <w:tc>
          <w:tcPr>
            <w:tcW w:w="54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4"/>
                <w:szCs w:val="14"/>
                <w:color w:val="auto"/>
              </w:rPr>
              <w:t>373.1</w:t>
            </w:r>
          </w:p>
        </w:tc>
      </w:tr>
      <w:tr>
        <w:trPr>
          <w:trHeight w:val="208"/>
        </w:trPr>
        <w:tc>
          <w:tcPr>
            <w:tcW w:w="53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256.3</w:t>
            </w:r>
          </w:p>
        </w:tc>
      </w:tr>
      <w:tr>
        <w:trPr>
          <w:trHeight w:val="22"/>
        </w:trPr>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0"/>
        </w:trPr>
        <w:tc>
          <w:tcPr>
            <w:tcW w:w="5380" w:type="dxa"/>
            <w:vAlign w:val="bottom"/>
            <w:tcBorders>
              <w:bottom w:val="single" w:sz="8" w:color="E3E3E3"/>
            </w:tcBorders>
            <w:shd w:val="clear" w:color="auto" w:fill="E3E3E3"/>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E3E3E3"/>
            </w:tcBorders>
            <w:shd w:val="clear" w:color="auto" w:fill="E3E3E3"/>
          </w:tcPr>
          <w:p>
            <w:pPr>
              <w:spacing w:after="0"/>
              <w:rPr>
                <w:sz w:val="19"/>
                <w:szCs w:val="19"/>
                <w:color w:val="auto"/>
              </w:rPr>
            </w:pPr>
          </w:p>
        </w:tc>
        <w:tc>
          <w:tcPr>
            <w:tcW w:w="10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E3E3E3"/>
            </w:tcBorders>
            <w:shd w:val="clear" w:color="auto" w:fill="E3E3E3"/>
          </w:tcPr>
          <w:p>
            <w:pPr>
              <w:spacing w:after="0"/>
              <w:rPr>
                <w:sz w:val="19"/>
                <w:szCs w:val="19"/>
                <w:color w:val="auto"/>
              </w:rPr>
            </w:pPr>
          </w:p>
        </w:tc>
        <w:tc>
          <w:tcPr>
            <w:tcW w:w="860" w:type="dxa"/>
            <w:vAlign w:val="bottom"/>
            <w:tcBorders>
              <w:bottom w:val="single" w:sz="8" w:color="E3E3E3"/>
            </w:tcBorders>
            <w:shd w:val="clear" w:color="auto" w:fill="E3E3E3"/>
          </w:tcPr>
          <w:p>
            <w:pPr>
              <w:spacing w:after="0"/>
              <w:rPr>
                <w:sz w:val="19"/>
                <w:szCs w:val="19"/>
                <w:color w:val="auto"/>
              </w:rPr>
            </w:pPr>
          </w:p>
        </w:tc>
        <w:tc>
          <w:tcPr>
            <w:tcW w:w="460" w:type="dxa"/>
            <w:vAlign w:val="bottom"/>
            <w:tcBorders>
              <w:bottom w:val="single" w:sz="8" w:color="E3E3E3"/>
            </w:tcBorders>
            <w:shd w:val="clear" w:color="auto" w:fill="E3E3E3"/>
          </w:tcPr>
          <w:p>
            <w:pPr>
              <w:jc w:val="right"/>
              <w:ind w:right="10"/>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E3E3E3"/>
            </w:tcBorders>
            <w:shd w:val="clear" w:color="auto" w:fill="E3E3E3"/>
          </w:tcPr>
          <w:p>
            <w:pPr>
              <w:spacing w:after="0"/>
              <w:rPr>
                <w:sz w:val="19"/>
                <w:szCs w:val="19"/>
                <w:color w:val="auto"/>
              </w:rPr>
            </w:pPr>
          </w:p>
        </w:tc>
        <w:tc>
          <w:tcPr>
            <w:tcW w:w="540" w:type="dxa"/>
            <w:vAlign w:val="bottom"/>
            <w:tcBorders>
              <w:bottom w:val="single" w:sz="8" w:color="E3E3E3"/>
            </w:tcBorders>
            <w:shd w:val="clear" w:color="auto" w:fill="E3E3E3"/>
          </w:tcPr>
          <w:p>
            <w:pPr>
              <w:spacing w:after="0"/>
              <w:rPr>
                <w:sz w:val="19"/>
                <w:szCs w:val="19"/>
                <w:color w:val="auto"/>
              </w:rPr>
            </w:pPr>
          </w:p>
        </w:tc>
        <w:tc>
          <w:tcPr>
            <w:tcW w:w="90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4"/>
                <w:szCs w:val="14"/>
                <w:color w:val="auto"/>
              </w:rPr>
              <w:t>96.2</w:t>
            </w:r>
          </w:p>
        </w:tc>
        <w:tc>
          <w:tcPr>
            <w:tcW w:w="120" w:type="dxa"/>
            <w:vAlign w:val="bottom"/>
            <w:tcBorders>
              <w:bottom w:val="single" w:sz="8" w:color="E3E3E3"/>
            </w:tcBorders>
            <w:shd w:val="clear" w:color="auto" w:fill="E3E3E3"/>
          </w:tcPr>
          <w:p>
            <w:pPr>
              <w:spacing w:after="0"/>
              <w:rPr>
                <w:sz w:val="19"/>
                <w:szCs w:val="19"/>
                <w:color w:val="auto"/>
              </w:rPr>
            </w:pPr>
          </w:p>
        </w:tc>
        <w:tc>
          <w:tcPr>
            <w:tcW w:w="900" w:type="dxa"/>
            <w:vAlign w:val="bottom"/>
            <w:tcBorders>
              <w:bottom w:val="single" w:sz="8" w:color="E3E3E3"/>
            </w:tcBorders>
            <w:shd w:val="clear" w:color="auto" w:fill="E3E3E3"/>
          </w:tcPr>
          <w:p>
            <w:pPr>
              <w:spacing w:after="0"/>
              <w:rPr>
                <w:sz w:val="19"/>
                <w:szCs w:val="19"/>
                <w:color w:val="auto"/>
              </w:rPr>
            </w:pPr>
          </w:p>
        </w:tc>
        <w:tc>
          <w:tcPr>
            <w:tcW w:w="54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4"/>
                <w:szCs w:val="14"/>
                <w:color w:val="auto"/>
              </w:rPr>
              <w:t>104.7</w:t>
            </w:r>
          </w:p>
        </w:tc>
      </w:tr>
      <w:tr>
        <w:trPr>
          <w:trHeight w:val="223"/>
        </w:trPr>
        <w:tc>
          <w:tcPr>
            <w:tcW w:w="5380" w:type="dxa"/>
            <w:vAlign w:val="bottom"/>
          </w:tcPr>
          <w:p>
            <w:pPr>
              <w:ind w:left="240"/>
              <w:spacing w:after="0"/>
              <w:rPr>
                <w:sz w:val="20"/>
                <w:szCs w:val="20"/>
                <w:color w:val="auto"/>
              </w:rPr>
            </w:pPr>
            <w:r>
              <w:rPr>
                <w:rFonts w:ascii="Arial" w:cs="Arial" w:eastAsia="Arial" w:hAnsi="Arial"/>
                <w:sz w:val="14"/>
                <w:szCs w:val="14"/>
                <w:color w:val="auto"/>
              </w:rPr>
              <w:t>Total share-based compensation</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263.5</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277.2</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center"/>
              <w:ind w:right="3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809.8</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833.1</w:t>
            </w:r>
          </w:p>
        </w:tc>
      </w:tr>
      <w:tr>
        <w:trPr>
          <w:trHeight w:val="21"/>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REVENUE</w:t>
      </w:r>
    </w:p>
    <w:p>
      <w:pPr>
        <w:spacing w:after="0" w:line="12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Our revenue consists of product revenue and subscription and support revenue. Revenue is recognized upon transfer of control of the corresponding promised products and subscriptions and support to our customers in an amount that reflects the consideration we expect to be entitled to in exchange for those products and subscriptions and support. We expect our revenue to vary from quarter to quarter based on seasonal and cyclical factors.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REVENUE</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Product revenue is derived from sales of our appliances, primarily our ML-Powered Next-Generation Firewall. Product revenue also includes revenue derived from software licenses of Panorama, SD-WAN, and the VM-Series. Our appliances and software licenses include a broad set of built-in networking and security features and functionalities. We recognize product revenue at the time of hardware shipment or delivery of software license.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center"/>
              <w:ind w:left="386"/>
              <w:spacing w:after="0"/>
              <w:rPr>
                <w:sz w:val="20"/>
                <w:szCs w:val="20"/>
                <w:color w:val="auto"/>
              </w:rPr>
            </w:pPr>
            <w:r>
              <w:rPr>
                <w:rFonts w:ascii="Arial" w:cs="Arial" w:eastAsia="Arial" w:hAnsi="Arial"/>
                <w:sz w:val="14"/>
                <w:szCs w:val="14"/>
                <w:b w:val="1"/>
                <w:bCs w:val="1"/>
                <w:color w:val="auto"/>
              </w:rPr>
              <w:t>April 30,</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rPr>
              <w:t>April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9"/>
        </w:trPr>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600" w:type="dxa"/>
            <w:vAlign w:val="bottom"/>
          </w:tcPr>
          <w:p>
            <w:pPr>
              <w:spacing w:after="0"/>
              <w:rPr>
                <w:sz w:val="2"/>
                <w:szCs w:val="2"/>
                <w:color w:val="auto"/>
              </w:rPr>
            </w:pPr>
          </w:p>
        </w:tc>
      </w:tr>
      <w:tr>
        <w:trPr>
          <w:trHeight w:val="217"/>
        </w:trPr>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8"/>
                <w:szCs w:val="18"/>
                <w:color w:val="auto"/>
              </w:rPr>
            </w:pPr>
          </w:p>
        </w:tc>
      </w:tr>
      <w:tr>
        <w:trPr>
          <w:trHeight w:val="223"/>
        </w:trPr>
        <w:tc>
          <w:tcPr>
            <w:tcW w:w="2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4"/>
        </w:trPr>
        <w:tc>
          <w:tcPr>
            <w:tcW w:w="29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243"/>
        </w:trPr>
        <w:tc>
          <w:tcPr>
            <w:tcW w:w="292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Product</w:t>
            </w:r>
          </w:p>
        </w:tc>
        <w:tc>
          <w:tcPr>
            <w:tcW w:w="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391.0</w:t>
            </w:r>
          </w:p>
        </w:tc>
        <w:tc>
          <w:tcPr>
            <w:tcW w:w="100" w:type="dxa"/>
            <w:vAlign w:val="bottom"/>
            <w:shd w:val="clear" w:color="auto" w:fill="E3E3E3"/>
          </w:tcPr>
          <w:p>
            <w:pPr>
              <w:spacing w:after="0"/>
              <w:rPr>
                <w:sz w:val="21"/>
                <w:szCs w:val="21"/>
                <w:color w:val="auto"/>
              </w:rPr>
            </w:pPr>
          </w:p>
        </w:tc>
        <w:tc>
          <w:tcPr>
            <w:tcW w:w="30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388.1</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2.9</w:t>
            </w:r>
          </w:p>
        </w:tc>
        <w:tc>
          <w:tcPr>
            <w:tcW w:w="10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1000" w:type="dxa"/>
            <w:vAlign w:val="bottom"/>
            <w:gridSpan w:val="3"/>
            <w:shd w:val="clear" w:color="auto" w:fill="E3E3E3"/>
          </w:tcPr>
          <w:p>
            <w:pPr>
              <w:jc w:val="right"/>
              <w:ind w:right="100"/>
              <w:spacing w:after="0"/>
              <w:rPr>
                <w:sz w:val="20"/>
                <w:szCs w:val="20"/>
                <w:color w:val="auto"/>
              </w:rPr>
            </w:pPr>
            <w:r>
              <w:rPr>
                <w:rFonts w:ascii="Arial" w:cs="Arial" w:eastAsia="Arial" w:hAnsi="Arial"/>
                <w:sz w:val="16"/>
                <w:szCs w:val="16"/>
                <w:color w:val="auto"/>
              </w:rPr>
              <w:t>0.7 %  $</w:t>
            </w:r>
          </w:p>
        </w:tc>
        <w:tc>
          <w:tcPr>
            <w:tcW w:w="720" w:type="dxa"/>
            <w:vAlign w:val="bottom"/>
            <w:shd w:val="clear" w:color="auto" w:fill="E3E3E3"/>
          </w:tcPr>
          <w:p>
            <w:pPr>
              <w:ind w:left="100"/>
              <w:spacing w:after="0"/>
              <w:rPr>
                <w:sz w:val="20"/>
                <w:szCs w:val="20"/>
                <w:color w:val="auto"/>
              </w:rPr>
            </w:pPr>
            <w:r>
              <w:rPr>
                <w:rFonts w:ascii="Arial" w:cs="Arial" w:eastAsia="Arial" w:hAnsi="Arial"/>
                <w:sz w:val="16"/>
                <w:szCs w:val="16"/>
                <w:color w:val="auto"/>
              </w:rPr>
              <w:t>1,122.8</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1,071.0</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51.8</w:t>
            </w:r>
          </w:p>
        </w:tc>
        <w:tc>
          <w:tcPr>
            <w:tcW w:w="10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6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4.8 %</w:t>
            </w:r>
          </w:p>
        </w:tc>
      </w:tr>
    </w:tbl>
    <w:p>
      <w:pPr>
        <w:spacing w:after="0" w:line="175"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Product revenue was flat for the three months ended April 30, 2024 compared to the same period in 2023 driven by increased software revenue and increased demand for our new generation of hardware products, offset by decreased demand for our prior generation of hardware products. Product revenue increased for the nine months ended April 30, 2024 compared to the same period in 2023 driven by increased software revenue primarily due to a go-to-market strategy for certain Network Security offerings, and increased demand for our new generation of hardware products, partially offset by decreased demand for our prior generation of hardware products.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SUBSCRIPTION AND SUPPORT REVENUE</w:t>
      </w:r>
    </w:p>
    <w:p>
      <w:pPr>
        <w:spacing w:after="0" w:line="13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Subscription and support revenue is derived primarily from sales of our subscription and support offerings. Our subscription and support contracts are typically one to five years. We recognize revenue from subscriptions and support over time as the services are performed. As a percentage of total revenue, we expect our subscription and support revenue to vary from quarter to quarter and increase over the long term as we introduce new subscriptions, renew existing subscription and support contracts, and expand our installed end-customer base.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2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r>
      <w:tr>
        <w:trPr>
          <w:trHeight w:val="223"/>
        </w:trPr>
        <w:tc>
          <w:tcPr>
            <w:tcW w:w="2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29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243"/>
        </w:trPr>
        <w:tc>
          <w:tcPr>
            <w:tcW w:w="2980" w:type="dxa"/>
            <w:vAlign w:val="bottom"/>
            <w:shd w:val="clear" w:color="auto" w:fill="E3E3E3"/>
          </w:tcPr>
          <w:p>
            <w:pPr>
              <w:ind w:left="20"/>
              <w:spacing w:after="0"/>
              <w:rPr>
                <w:sz w:val="20"/>
                <w:szCs w:val="20"/>
                <w:color w:val="auto"/>
              </w:rPr>
            </w:pPr>
            <w:r>
              <w:rPr>
                <w:rFonts w:ascii="Arial" w:cs="Arial" w:eastAsia="Arial" w:hAnsi="Arial"/>
                <w:sz w:val="16"/>
                <w:szCs w:val="16"/>
                <w:color w:val="auto"/>
              </w:rPr>
              <w:t>Subscription</w:t>
            </w:r>
          </w:p>
        </w:tc>
        <w:tc>
          <w:tcPr>
            <w:tcW w:w="18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1,045.6</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838.1</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207.5</w:t>
            </w:r>
          </w:p>
        </w:tc>
        <w:tc>
          <w:tcPr>
            <w:tcW w:w="10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24.8 %</w:t>
            </w:r>
          </w:p>
        </w:tc>
        <w:tc>
          <w:tcPr>
            <w:tcW w:w="300" w:type="dxa"/>
            <w:vAlign w:val="bottom"/>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ind w:left="100"/>
              <w:spacing w:after="0"/>
              <w:rPr>
                <w:sz w:val="20"/>
                <w:szCs w:val="20"/>
                <w:color w:val="auto"/>
              </w:rPr>
            </w:pPr>
            <w:r>
              <w:rPr>
                <w:rFonts w:ascii="Arial" w:cs="Arial" w:eastAsia="Arial" w:hAnsi="Arial"/>
                <w:sz w:val="16"/>
                <w:szCs w:val="16"/>
                <w:color w:val="auto"/>
              </w:rPr>
              <w:t>3,061.0</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2,417.5</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center"/>
              <w:ind w:left="43"/>
              <w:spacing w:after="0"/>
              <w:rPr>
                <w:sz w:val="20"/>
                <w:szCs w:val="20"/>
                <w:color w:val="auto"/>
              </w:rPr>
            </w:pPr>
            <w:r>
              <w:rPr>
                <w:rFonts w:ascii="Arial" w:cs="Arial" w:eastAsia="Arial" w:hAnsi="Arial"/>
                <w:sz w:val="16"/>
                <w:szCs w:val="16"/>
                <w:color w:val="auto"/>
                <w:w w:val="99"/>
              </w:rPr>
              <w:t>643.5</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26.6 %</w:t>
            </w:r>
          </w:p>
        </w:tc>
      </w:tr>
      <w:tr>
        <w:trPr>
          <w:trHeight w:val="236"/>
        </w:trPr>
        <w:tc>
          <w:tcPr>
            <w:tcW w:w="29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Support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548.2</w:t>
            </w:r>
          </w:p>
        </w:tc>
        <w:tc>
          <w:tcPr>
            <w:tcW w:w="100" w:type="dxa"/>
            <w:vAlign w:val="bottom"/>
            <w:tcBorders>
              <w:bottom w:val="single" w:sz="8" w:color="E3E3E3"/>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494.7</w:t>
            </w:r>
          </w:p>
        </w:tc>
        <w:tc>
          <w:tcPr>
            <w:tcW w:w="100" w:type="dxa"/>
            <w:vAlign w:val="bottom"/>
            <w:tcBorders>
              <w:bottom w:val="single" w:sz="8" w:color="E3E3E3"/>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E3E3E3"/>
            </w:tcBorders>
          </w:tcPr>
          <w:p>
            <w:pPr>
              <w:spacing w:after="0"/>
              <w:rPr>
                <w:sz w:val="20"/>
                <w:szCs w:val="20"/>
                <w:color w:val="auto"/>
              </w:rPr>
            </w:pPr>
          </w:p>
        </w:tc>
        <w:tc>
          <w:tcPr>
            <w:tcW w:w="340" w:type="dxa"/>
            <w:vAlign w:val="bottom"/>
            <w:tcBorders>
              <w:bottom w:val="single" w:sz="8" w:color="E3E3E3"/>
            </w:tcBorders>
          </w:tcPr>
          <w:p>
            <w:pPr>
              <w:spacing w:after="0"/>
              <w:rPr>
                <w:sz w:val="20"/>
                <w:szCs w:val="20"/>
                <w:color w:val="auto"/>
              </w:rPr>
            </w:pPr>
          </w:p>
        </w:tc>
        <w:tc>
          <w:tcPr>
            <w:tcW w:w="68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1,654.2</w:t>
            </w:r>
          </w:p>
        </w:tc>
        <w:tc>
          <w:tcPr>
            <w:tcW w:w="100" w:type="dxa"/>
            <w:vAlign w:val="bottom"/>
            <w:tcBorders>
              <w:bottom w:val="single" w:sz="8" w:color="E3E3E3"/>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1,450.9</w:t>
            </w:r>
          </w:p>
        </w:tc>
        <w:tc>
          <w:tcPr>
            <w:tcW w:w="12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43"/>
              <w:spacing w:after="0"/>
              <w:rPr>
                <w:sz w:val="20"/>
                <w:szCs w:val="20"/>
                <w:color w:val="auto"/>
              </w:rPr>
            </w:pPr>
            <w:r>
              <w:rPr>
                <w:rFonts w:ascii="Arial" w:cs="Arial" w:eastAsia="Arial" w:hAnsi="Arial"/>
                <w:sz w:val="16"/>
                <w:szCs w:val="16"/>
                <w:color w:val="auto"/>
                <w:w w:val="99"/>
              </w:rPr>
              <w:t>203.3</w:t>
            </w: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E3E3E3"/>
            </w:tcBorders>
          </w:tcPr>
          <w:p>
            <w:pPr>
              <w:spacing w:after="0"/>
              <w:rPr>
                <w:sz w:val="20"/>
                <w:szCs w:val="20"/>
                <w:color w:val="auto"/>
              </w:rPr>
            </w:pPr>
          </w:p>
        </w:tc>
        <w:tc>
          <w:tcPr>
            <w:tcW w:w="64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14.0 %</w:t>
            </w:r>
          </w:p>
        </w:tc>
      </w:tr>
      <w:tr>
        <w:trPr>
          <w:trHeight w:val="268"/>
        </w:trPr>
        <w:tc>
          <w:tcPr>
            <w:tcW w:w="298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Total subscription and support</w:t>
            </w:r>
          </w:p>
        </w:tc>
        <w:tc>
          <w:tcPr>
            <w:tcW w:w="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E3E3E3"/>
          </w:tcPr>
          <w:p>
            <w:pPr>
              <w:jc w:val="right"/>
              <w:ind w:right="4"/>
              <w:spacing w:after="0"/>
              <w:rPr>
                <w:sz w:val="20"/>
                <w:szCs w:val="20"/>
                <w:color w:val="auto"/>
              </w:rPr>
            </w:pPr>
            <w:r>
              <w:rPr>
                <w:rFonts w:ascii="Arial" w:cs="Arial" w:eastAsia="Arial" w:hAnsi="Arial"/>
                <w:sz w:val="16"/>
                <w:szCs w:val="16"/>
                <w:color w:val="auto"/>
              </w:rPr>
              <w:t>1,593.8</w:t>
            </w:r>
          </w:p>
        </w:tc>
        <w:tc>
          <w:tcPr>
            <w:tcW w:w="100" w:type="dxa"/>
            <w:vAlign w:val="bottom"/>
            <w:tcBorders>
              <w:bottom w:val="single" w:sz="8" w:color="E3E3E3"/>
            </w:tcBorders>
            <w:shd w:val="clear" w:color="auto" w:fill="E3E3E3"/>
          </w:tcPr>
          <w:p>
            <w:pPr>
              <w:spacing w:after="0"/>
              <w:rPr>
                <w:sz w:val="22"/>
                <w:szCs w:val="22"/>
                <w:color w:val="auto"/>
              </w:rPr>
            </w:pPr>
          </w:p>
        </w:tc>
        <w:tc>
          <w:tcPr>
            <w:tcW w:w="280" w:type="dxa"/>
            <w:vAlign w:val="bottom"/>
            <w:tcBorders>
              <w:bottom w:val="single" w:sz="8" w:color="auto"/>
            </w:tcBorders>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1,332.8</w:t>
            </w:r>
          </w:p>
        </w:tc>
        <w:tc>
          <w:tcPr>
            <w:tcW w:w="100" w:type="dxa"/>
            <w:vAlign w:val="bottom"/>
            <w:tcBorders>
              <w:bottom w:val="single" w:sz="8" w:color="E3E3E3"/>
            </w:tcBorders>
            <w:shd w:val="clear" w:color="auto" w:fill="E3E3E3"/>
          </w:tcPr>
          <w:p>
            <w:pPr>
              <w:spacing w:after="0"/>
              <w:rPr>
                <w:sz w:val="22"/>
                <w:szCs w:val="22"/>
                <w:color w:val="auto"/>
              </w:rPr>
            </w:pPr>
          </w:p>
        </w:tc>
        <w:tc>
          <w:tcPr>
            <w:tcW w:w="240" w:type="dxa"/>
            <w:vAlign w:val="bottom"/>
            <w:tcBorders>
              <w:bottom w:val="single" w:sz="8" w:color="auto"/>
            </w:tcBorders>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261.0</w:t>
            </w:r>
          </w:p>
        </w:tc>
        <w:tc>
          <w:tcPr>
            <w:tcW w:w="100" w:type="dxa"/>
            <w:vAlign w:val="bottom"/>
            <w:tcBorders>
              <w:bottom w:val="single" w:sz="8" w:color="E3E3E3"/>
            </w:tcBorders>
            <w:shd w:val="clear" w:color="auto" w:fill="E3E3E3"/>
          </w:tcPr>
          <w:p>
            <w:pPr>
              <w:spacing w:after="0"/>
              <w:rPr>
                <w:sz w:val="22"/>
                <w:szCs w:val="22"/>
                <w:color w:val="auto"/>
              </w:rPr>
            </w:pPr>
          </w:p>
        </w:tc>
        <w:tc>
          <w:tcPr>
            <w:tcW w:w="340" w:type="dxa"/>
            <w:vAlign w:val="bottom"/>
            <w:tcBorders>
              <w:bottom w:val="single" w:sz="8" w:color="E3E3E3"/>
            </w:tcBorders>
            <w:shd w:val="clear" w:color="auto" w:fill="E3E3E3"/>
          </w:tcPr>
          <w:p>
            <w:pPr>
              <w:spacing w:after="0"/>
              <w:rPr>
                <w:sz w:val="22"/>
                <w:szCs w:val="22"/>
                <w:color w:val="auto"/>
              </w:rPr>
            </w:pPr>
          </w:p>
        </w:tc>
        <w:tc>
          <w:tcPr>
            <w:tcW w:w="68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19.6 %</w:t>
            </w:r>
          </w:p>
        </w:tc>
        <w:tc>
          <w:tcPr>
            <w:tcW w:w="300" w:type="dxa"/>
            <w:vAlign w:val="bottom"/>
            <w:tcBorders>
              <w:bottom w:val="single" w:sz="8" w:color="auto"/>
            </w:tcBorders>
            <w:gridSpan w:val="2"/>
            <w:shd w:val="clear" w:color="auto" w:fill="E3E3E3"/>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3E3E3"/>
          </w:tcPr>
          <w:p>
            <w:pPr>
              <w:ind w:left="100"/>
              <w:spacing w:after="0"/>
              <w:rPr>
                <w:sz w:val="20"/>
                <w:szCs w:val="20"/>
                <w:color w:val="auto"/>
              </w:rPr>
            </w:pPr>
            <w:r>
              <w:rPr>
                <w:rFonts w:ascii="Arial" w:cs="Arial" w:eastAsia="Arial" w:hAnsi="Arial"/>
                <w:sz w:val="16"/>
                <w:szCs w:val="16"/>
                <w:color w:val="auto"/>
              </w:rPr>
              <w:t>4,715.2</w:t>
            </w:r>
          </w:p>
        </w:tc>
        <w:tc>
          <w:tcPr>
            <w:tcW w:w="100" w:type="dxa"/>
            <w:vAlign w:val="bottom"/>
            <w:tcBorders>
              <w:bottom w:val="single" w:sz="8" w:color="E3E3E3"/>
            </w:tcBorders>
            <w:shd w:val="clear" w:color="auto" w:fill="E3E3E3"/>
          </w:tcPr>
          <w:p>
            <w:pPr>
              <w:spacing w:after="0"/>
              <w:rPr>
                <w:sz w:val="22"/>
                <w:szCs w:val="22"/>
                <w:color w:val="auto"/>
              </w:rPr>
            </w:pPr>
          </w:p>
        </w:tc>
        <w:tc>
          <w:tcPr>
            <w:tcW w:w="280" w:type="dxa"/>
            <w:vAlign w:val="bottom"/>
            <w:tcBorders>
              <w:bottom w:val="single" w:sz="8" w:color="auto"/>
            </w:tcBorders>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3,868.4</w:t>
            </w:r>
          </w:p>
        </w:tc>
        <w:tc>
          <w:tcPr>
            <w:tcW w:w="120" w:type="dxa"/>
            <w:vAlign w:val="bottom"/>
            <w:tcBorders>
              <w:bottom w:val="single" w:sz="8" w:color="E3E3E3"/>
            </w:tcBorders>
            <w:shd w:val="clear" w:color="auto" w:fill="E3E3E3"/>
          </w:tcPr>
          <w:p>
            <w:pPr>
              <w:spacing w:after="0"/>
              <w:rPr>
                <w:sz w:val="22"/>
                <w:szCs w:val="22"/>
                <w:color w:val="auto"/>
              </w:rPr>
            </w:pPr>
          </w:p>
        </w:tc>
        <w:tc>
          <w:tcPr>
            <w:tcW w:w="220" w:type="dxa"/>
            <w:vAlign w:val="bottom"/>
            <w:tcBorders>
              <w:bottom w:val="single" w:sz="8" w:color="auto"/>
            </w:tcBorders>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E3E3E3"/>
          </w:tcPr>
          <w:p>
            <w:pPr>
              <w:jc w:val="center"/>
              <w:ind w:left="43"/>
              <w:spacing w:after="0"/>
              <w:rPr>
                <w:sz w:val="20"/>
                <w:szCs w:val="20"/>
                <w:color w:val="auto"/>
              </w:rPr>
            </w:pPr>
            <w:r>
              <w:rPr>
                <w:rFonts w:ascii="Arial" w:cs="Arial" w:eastAsia="Arial" w:hAnsi="Arial"/>
                <w:sz w:val="16"/>
                <w:szCs w:val="16"/>
                <w:color w:val="auto"/>
                <w:w w:val="99"/>
              </w:rPr>
              <w:t>846.8</w:t>
            </w:r>
          </w:p>
        </w:tc>
        <w:tc>
          <w:tcPr>
            <w:tcW w:w="100" w:type="dxa"/>
            <w:vAlign w:val="bottom"/>
            <w:tcBorders>
              <w:bottom w:val="single" w:sz="8" w:color="E3E3E3"/>
            </w:tcBorders>
            <w:shd w:val="clear" w:color="auto" w:fill="E3E3E3"/>
          </w:tcPr>
          <w:p>
            <w:pPr>
              <w:spacing w:after="0"/>
              <w:rPr>
                <w:sz w:val="22"/>
                <w:szCs w:val="22"/>
                <w:color w:val="auto"/>
              </w:rPr>
            </w:pPr>
          </w:p>
        </w:tc>
        <w:tc>
          <w:tcPr>
            <w:tcW w:w="380" w:type="dxa"/>
            <w:vAlign w:val="bottom"/>
            <w:tcBorders>
              <w:bottom w:val="single" w:sz="8" w:color="E3E3E3"/>
            </w:tcBorders>
            <w:shd w:val="clear" w:color="auto" w:fill="E3E3E3"/>
          </w:tcPr>
          <w:p>
            <w:pPr>
              <w:spacing w:after="0"/>
              <w:rPr>
                <w:sz w:val="22"/>
                <w:szCs w:val="22"/>
                <w:color w:val="auto"/>
              </w:rPr>
            </w:pPr>
          </w:p>
        </w:tc>
        <w:tc>
          <w:tcPr>
            <w:tcW w:w="64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21.9 %</w:t>
            </w:r>
          </w:p>
        </w:tc>
      </w:tr>
      <w:tr>
        <w:trPr>
          <w:trHeight w:val="20"/>
        </w:trPr>
        <w:tc>
          <w:tcPr>
            <w:tcW w:w="2980" w:type="dxa"/>
            <w:vAlign w:val="bottom"/>
            <w:tcBorders>
              <w:top w:val="single" w:sz="8" w:color="E3E3E3"/>
            </w:tcBorders>
          </w:tcPr>
          <w:p>
            <w:pPr>
              <w:spacing w:after="0" w:line="20" w:lineRule="exact"/>
              <w:rPr>
                <w:sz w:val="1"/>
                <w:szCs w:val="1"/>
                <w:color w:val="auto"/>
              </w:rPr>
            </w:pPr>
          </w:p>
        </w:tc>
        <w:tc>
          <w:tcPr>
            <w:tcW w:w="180" w:type="dxa"/>
            <w:vAlign w:val="bottom"/>
            <w:tcBorders>
              <w:top w:val="single" w:sz="8" w:color="E3E3E3"/>
              <w:bottom w:val="single" w:sz="8" w:color="auto"/>
            </w:tcBorders>
          </w:tcPr>
          <w:p>
            <w:pPr>
              <w:spacing w:after="0" w:line="20" w:lineRule="exact"/>
              <w:rPr>
                <w:sz w:val="1"/>
                <w:szCs w:val="1"/>
                <w:color w:val="auto"/>
              </w:rPr>
            </w:pPr>
          </w:p>
        </w:tc>
        <w:tc>
          <w:tcPr>
            <w:tcW w:w="74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80" w:type="dxa"/>
            <w:vAlign w:val="bottom"/>
            <w:tcBorders>
              <w:top w:val="single" w:sz="8" w:color="E3E3E3"/>
              <w:bottom w:val="single" w:sz="8" w:color="auto"/>
            </w:tcBorders>
          </w:tcPr>
          <w:p>
            <w:pPr>
              <w:spacing w:after="0" w:line="20" w:lineRule="exact"/>
              <w:rPr>
                <w:sz w:val="1"/>
                <w:szCs w:val="1"/>
                <w:color w:val="auto"/>
              </w:rPr>
            </w:pPr>
          </w:p>
        </w:tc>
        <w:tc>
          <w:tcPr>
            <w:tcW w:w="64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E3E3E3"/>
              <w:bottom w:val="single" w:sz="8" w:color="auto"/>
            </w:tcBorders>
          </w:tcPr>
          <w:p>
            <w:pPr>
              <w:spacing w:after="0" w:line="20" w:lineRule="exact"/>
              <w:rPr>
                <w:sz w:val="1"/>
                <w:szCs w:val="1"/>
                <w:color w:val="auto"/>
              </w:rPr>
            </w:pPr>
          </w:p>
        </w:tc>
        <w:tc>
          <w:tcPr>
            <w:tcW w:w="68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340" w:type="dxa"/>
            <w:vAlign w:val="bottom"/>
            <w:tcBorders>
              <w:top w:val="single" w:sz="8" w:color="E3E3E3"/>
            </w:tcBorders>
          </w:tcPr>
          <w:p>
            <w:pPr>
              <w:spacing w:after="0" w:line="20" w:lineRule="exact"/>
              <w:rPr>
                <w:sz w:val="1"/>
                <w:szCs w:val="1"/>
                <w:color w:val="auto"/>
              </w:rPr>
            </w:pPr>
          </w:p>
        </w:tc>
        <w:tc>
          <w:tcPr>
            <w:tcW w:w="68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bottom w:val="single" w:sz="8" w:color="auto"/>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80" w:type="dxa"/>
            <w:vAlign w:val="bottom"/>
            <w:tcBorders>
              <w:top w:val="single" w:sz="8" w:color="E3E3E3"/>
              <w:bottom w:val="single" w:sz="8" w:color="auto"/>
            </w:tcBorders>
          </w:tcPr>
          <w:p>
            <w:pPr>
              <w:spacing w:after="0" w:line="20" w:lineRule="exact"/>
              <w:rPr>
                <w:sz w:val="1"/>
                <w:szCs w:val="1"/>
                <w:color w:val="auto"/>
              </w:rPr>
            </w:pPr>
          </w:p>
        </w:tc>
        <w:tc>
          <w:tcPr>
            <w:tcW w:w="64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bottom w:val="single" w:sz="8" w:color="auto"/>
            </w:tcBorders>
          </w:tcPr>
          <w:p>
            <w:pPr>
              <w:spacing w:after="0" w:line="20" w:lineRule="exact"/>
              <w:rPr>
                <w:sz w:val="1"/>
                <w:szCs w:val="1"/>
                <w:color w:val="auto"/>
              </w:rPr>
            </w:pPr>
          </w:p>
        </w:tc>
        <w:tc>
          <w:tcPr>
            <w:tcW w:w="680" w:type="dxa"/>
            <w:vAlign w:val="bottom"/>
            <w:tcBorders>
              <w:top w:val="single" w:sz="8" w:color="E3E3E3"/>
              <w:bottom w:val="single" w:sz="8" w:color="auto"/>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380" w:type="dxa"/>
            <w:vAlign w:val="bottom"/>
            <w:tcBorders>
              <w:top w:val="single" w:sz="8" w:color="E3E3E3"/>
            </w:tcBorders>
          </w:tcPr>
          <w:p>
            <w:pPr>
              <w:spacing w:after="0" w:line="20" w:lineRule="exact"/>
              <w:rPr>
                <w:sz w:val="1"/>
                <w:szCs w:val="1"/>
                <w:color w:val="auto"/>
              </w:rPr>
            </w:pPr>
          </w:p>
        </w:tc>
        <w:tc>
          <w:tcPr>
            <w:tcW w:w="640" w:type="dxa"/>
            <w:vAlign w:val="bottom"/>
            <w:tcBorders>
              <w:top w:val="single" w:sz="8" w:color="E3E3E3"/>
            </w:tcBorders>
          </w:tcPr>
          <w:p>
            <w:pPr>
              <w:spacing w:after="0" w:line="20" w:lineRule="exact"/>
              <w:rPr>
                <w:sz w:val="1"/>
                <w:szCs w:val="1"/>
                <w:color w:val="auto"/>
              </w:rPr>
            </w:pPr>
          </w:p>
        </w:tc>
      </w:tr>
    </w:tbl>
    <w:p>
      <w:pPr>
        <w:spacing w:after="0" w:line="188"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Subscription and support revenue increased for the three and nine months ended April 30, 2024 compared to the same periods in 2023 primarily due to increased demand for our subscription and support offerings from our end-customers. The mix between subscription revenue and support revenue will fluctuate over time, depending on the introduction of new subscription offerings, renewals of support services, and our ability to increase sales to new and existing end-customers.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BY GEOGRAPHIC THEATER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2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243"/>
        </w:trPr>
        <w:tc>
          <w:tcPr>
            <w:tcW w:w="2960" w:type="dxa"/>
            <w:vAlign w:val="bottom"/>
            <w:shd w:val="clear" w:color="auto" w:fill="E3E3E3"/>
          </w:tcPr>
          <w:p>
            <w:pPr>
              <w:ind w:left="20"/>
              <w:spacing w:after="0"/>
              <w:rPr>
                <w:sz w:val="20"/>
                <w:szCs w:val="20"/>
                <w:color w:val="auto"/>
              </w:rPr>
            </w:pPr>
            <w:r>
              <w:rPr>
                <w:rFonts w:ascii="Arial" w:cs="Arial" w:eastAsia="Arial" w:hAnsi="Arial"/>
                <w:sz w:val="16"/>
                <w:szCs w:val="16"/>
                <w:color w:val="auto"/>
              </w:rPr>
              <w:t>Americas</w:t>
            </w:r>
          </w:p>
        </w:tc>
        <w:tc>
          <w:tcPr>
            <w:tcW w:w="18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1,359.6</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1,179.2</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180.4</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15.3 %</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3,980.4</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3,366.9</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613.5</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18.2 %</w:t>
            </w:r>
          </w:p>
        </w:tc>
      </w:tr>
      <w:tr>
        <w:trPr>
          <w:trHeight w:val="235"/>
        </w:trPr>
        <w:tc>
          <w:tcPr>
            <w:tcW w:w="2960" w:type="dxa"/>
            <w:vAlign w:val="bottom"/>
          </w:tcPr>
          <w:p>
            <w:pPr>
              <w:ind w:left="20"/>
              <w:spacing w:after="0"/>
              <w:rPr>
                <w:sz w:val="20"/>
                <w:szCs w:val="20"/>
                <w:color w:val="auto"/>
              </w:rPr>
            </w:pPr>
            <w:r>
              <w:rPr>
                <w:rFonts w:ascii="Arial" w:cs="Arial" w:eastAsia="Arial" w:hAnsi="Arial"/>
                <w:sz w:val="16"/>
                <w:szCs w:val="16"/>
                <w:color w:val="auto"/>
              </w:rPr>
              <w:t>EMEA</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332.1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19.3 %</w:t>
            </w:r>
          </w:p>
        </w:tc>
      </w:tr>
      <w:tr>
        <w:trPr>
          <w:trHeight w:val="244"/>
        </w:trPr>
        <w:tc>
          <w:tcPr>
            <w:tcW w:w="2960" w:type="dxa"/>
            <w:vAlign w:val="bottom"/>
            <w:shd w:val="clear" w:color="auto" w:fill="E3E3E3"/>
          </w:tcPr>
          <w:p>
            <w:pPr>
              <w:ind w:left="20"/>
              <w:spacing w:after="0"/>
              <w:rPr>
                <w:sz w:val="20"/>
                <w:szCs w:val="20"/>
                <w:color w:val="auto"/>
              </w:rPr>
            </w:pPr>
            <w:r>
              <w:rPr>
                <w:rFonts w:ascii="Arial" w:cs="Arial" w:eastAsia="Arial" w:hAnsi="Arial"/>
                <w:sz w:val="16"/>
                <w:szCs w:val="16"/>
                <w:color w:val="auto"/>
              </w:rPr>
              <w:t>APAC</w:t>
            </w:r>
          </w:p>
        </w:tc>
        <w:tc>
          <w:tcPr>
            <w:tcW w:w="18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226.0</w:t>
            </w:r>
          </w:p>
        </w:tc>
        <w:tc>
          <w:tcPr>
            <w:tcW w:w="120" w:type="dxa"/>
            <w:vAlign w:val="bottom"/>
            <w:shd w:val="clear" w:color="auto" w:fill="E3E3E3"/>
          </w:tcPr>
          <w:p>
            <w:pPr>
              <w:spacing w:after="0"/>
              <w:rPr>
                <w:sz w:val="21"/>
                <w:szCs w:val="21"/>
                <w:color w:val="auto"/>
              </w:rPr>
            </w:pPr>
          </w:p>
        </w:tc>
        <w:tc>
          <w:tcPr>
            <w:tcW w:w="26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209.6</w:t>
            </w:r>
          </w:p>
        </w:tc>
        <w:tc>
          <w:tcPr>
            <w:tcW w:w="10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6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E3E3E3"/>
          </w:tcPr>
          <w:p>
            <w:pPr>
              <w:spacing w:after="0"/>
              <w:rPr>
                <w:sz w:val="21"/>
                <w:szCs w:val="21"/>
                <w:color w:val="auto"/>
              </w:rPr>
            </w:pPr>
          </w:p>
        </w:tc>
        <w:tc>
          <w:tcPr>
            <w:tcW w:w="200" w:type="dxa"/>
            <w:vAlign w:val="bottom"/>
            <w:tcBorders>
              <w:bottom w:val="single" w:sz="8" w:color="auto"/>
            </w:tcBorders>
            <w:shd w:val="clear" w:color="auto" w:fill="E3E3E3"/>
          </w:tcPr>
          <w:p>
            <w:pPr>
              <w:spacing w:after="0"/>
              <w:rPr>
                <w:sz w:val="21"/>
                <w:szCs w:val="21"/>
                <w:color w:val="auto"/>
              </w:rPr>
            </w:pPr>
          </w:p>
        </w:tc>
        <w:tc>
          <w:tcPr>
            <w:tcW w:w="72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686.7</w:t>
            </w:r>
          </w:p>
        </w:tc>
        <w:tc>
          <w:tcPr>
            <w:tcW w:w="120" w:type="dxa"/>
            <w:vAlign w:val="bottom"/>
            <w:shd w:val="clear" w:color="auto" w:fill="E3E3E3"/>
          </w:tcPr>
          <w:p>
            <w:pPr>
              <w:spacing w:after="0"/>
              <w:rPr>
                <w:sz w:val="21"/>
                <w:szCs w:val="21"/>
                <w:color w:val="auto"/>
              </w:rPr>
            </w:pPr>
          </w:p>
        </w:tc>
        <w:tc>
          <w:tcPr>
            <w:tcW w:w="260" w:type="dxa"/>
            <w:vAlign w:val="bottom"/>
            <w:tcBorders>
              <w:bottom w:val="single" w:sz="8" w:color="auto"/>
            </w:tcBorders>
            <w:shd w:val="clear" w:color="auto" w:fill="E3E3E3"/>
          </w:tcPr>
          <w:p>
            <w:pPr>
              <w:spacing w:after="0"/>
              <w:rPr>
                <w:sz w:val="21"/>
                <w:szCs w:val="21"/>
                <w:color w:val="auto"/>
              </w:rPr>
            </w:pPr>
          </w:p>
        </w:tc>
        <w:tc>
          <w:tcPr>
            <w:tcW w:w="66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591.0</w:t>
            </w:r>
          </w:p>
        </w:tc>
        <w:tc>
          <w:tcPr>
            <w:tcW w:w="120" w:type="dxa"/>
            <w:vAlign w:val="bottom"/>
            <w:shd w:val="clear" w:color="auto" w:fill="E3E3E3"/>
          </w:tcPr>
          <w:p>
            <w:pPr>
              <w:spacing w:after="0"/>
              <w:rPr>
                <w:sz w:val="21"/>
                <w:szCs w:val="21"/>
                <w:color w:val="auto"/>
              </w:rPr>
            </w:pPr>
          </w:p>
        </w:tc>
        <w:tc>
          <w:tcPr>
            <w:tcW w:w="220" w:type="dxa"/>
            <w:vAlign w:val="bottom"/>
            <w:tcBorders>
              <w:bottom w:val="single" w:sz="8" w:color="auto"/>
            </w:tcBorders>
            <w:shd w:val="clear" w:color="auto" w:fill="E3E3E3"/>
          </w:tcPr>
          <w:p>
            <w:pPr>
              <w:spacing w:after="0"/>
              <w:rPr>
                <w:sz w:val="21"/>
                <w:szCs w:val="21"/>
                <w:color w:val="auto"/>
              </w:rPr>
            </w:pPr>
          </w:p>
        </w:tc>
        <w:tc>
          <w:tcPr>
            <w:tcW w:w="68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16.2 %</w:t>
            </w:r>
          </w:p>
        </w:tc>
      </w:tr>
      <w:tr>
        <w:trPr>
          <w:trHeight w:val="243"/>
        </w:trPr>
        <w:tc>
          <w:tcPr>
            <w:tcW w:w="296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1,720.9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5,838.0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18.2 %</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Revenue from the Americas, Europe, the Middle East, and Africa (“EMEA”), and Asia Pacific and Japan (“APAC”), increased for the three and nine months ended April 30, 2024 compared to the same periods in 2023 as we continued to increase investment in our global sales force in order to support our growth and innovation, with the Americas contributing the highest increase in revenue due to its larger scale.</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COST OF REVENUE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Our cost of revenue consists of cost of product revenue and cost of subscription and support revenue.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PRODUCT REVENUE</w:t>
      </w:r>
    </w:p>
    <w:p>
      <w:pPr>
        <w:spacing w:after="0" w:line="13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Cost of product revenue primarily includes costs paid to our manufacturing partners for procuring components and manufacturing our products. Our cost of product revenue also includes personnel costs, which consist of salaries, benefits, bonuses, share-based compensation, and travel associated with our operations organization, amortization of intellectual property licenses, product testing costs, shipping and tariff costs, and shared costs. Shared costs consist of certain facilities, depreciation, benefits, recruiting, and information technology costs that we allocate based on headcount. We expect our cost of product revenue to fluctuate with our revenue from hardware products.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5"/>
        </w:trPr>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3"/>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4"/>
        </w:trPr>
        <w:tc>
          <w:tcPr>
            <w:tcW w:w="2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243"/>
        </w:trPr>
        <w:tc>
          <w:tcPr>
            <w:tcW w:w="2960" w:type="dxa"/>
            <w:vAlign w:val="bottom"/>
            <w:shd w:val="clear" w:color="auto" w:fill="E3E3E3"/>
          </w:tcPr>
          <w:p>
            <w:pPr>
              <w:ind w:left="20"/>
              <w:spacing w:after="0"/>
              <w:rPr>
                <w:sz w:val="20"/>
                <w:szCs w:val="20"/>
                <w:color w:val="auto"/>
              </w:rPr>
            </w:pPr>
            <w:r>
              <w:rPr>
                <w:rFonts w:ascii="Arial" w:cs="Arial" w:eastAsia="Arial" w:hAnsi="Arial"/>
                <w:sz w:val="16"/>
                <w:szCs w:val="16"/>
                <w:color w:val="auto"/>
              </w:rPr>
              <w:t>Cost of product revenue</w:t>
            </w:r>
          </w:p>
        </w:tc>
        <w:tc>
          <w:tcPr>
            <w:tcW w:w="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77.9</w:t>
            </w:r>
          </w:p>
        </w:tc>
        <w:tc>
          <w:tcPr>
            <w:tcW w:w="120" w:type="dxa"/>
            <w:vAlign w:val="bottom"/>
            <w:shd w:val="clear" w:color="auto" w:fill="E3E3E3"/>
          </w:tcPr>
          <w:p>
            <w:pPr>
              <w:spacing w:after="0"/>
              <w:rPr>
                <w:sz w:val="21"/>
                <w:szCs w:val="21"/>
                <w:color w:val="auto"/>
              </w:rPr>
            </w:pPr>
          </w:p>
        </w:tc>
        <w:tc>
          <w:tcPr>
            <w:tcW w:w="300" w:type="dxa"/>
            <w:vAlign w:val="bottom"/>
            <w:shd w:val="clear" w:color="auto" w:fill="E3E3E3"/>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1000" w:type="dxa"/>
            <w:vAlign w:val="bottom"/>
            <w:gridSpan w:val="3"/>
            <w:shd w:val="clear" w:color="auto" w:fill="E3E3E3"/>
          </w:tcPr>
          <w:p>
            <w:pPr>
              <w:ind w:left="100"/>
              <w:spacing w:after="0"/>
              <w:rPr>
                <w:sz w:val="20"/>
                <w:szCs w:val="20"/>
                <w:color w:val="auto"/>
              </w:rPr>
            </w:pPr>
            <w:r>
              <w:rPr>
                <w:rFonts w:ascii="Arial" w:cs="Arial" w:eastAsia="Arial" w:hAnsi="Arial"/>
                <w:sz w:val="16"/>
                <w:szCs w:val="16"/>
                <w:color w:val="auto"/>
              </w:rPr>
              <w:t>(16.6)%  $</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243.5</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314.0</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(22.5)%</w:t>
            </w:r>
          </w:p>
        </w:tc>
      </w:tr>
    </w:tbl>
    <w:p>
      <w:pPr>
        <w:spacing w:after="0" w:line="17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Cost of product revenue decreased for the three months ended April 30, 2024 compared to the same period in 2023 primarily due to decreased demand for our prior generation of hardware products and lower other product costs, partially offset by increased demand for our new generation hardware products. Cost of product revenue decreased for the nine months ended April 30, 2024 compared to the same period in 2023 primarily due to decreased demand for our prior generation of hardware products and lower costs largely driven by an easing of supply chain challenges, partially offset by increased demand for our new generation hardware products.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SUBSCRIPTION AND SUPPORT REVENUE</w:t>
      </w:r>
    </w:p>
    <w:p>
      <w:pPr>
        <w:spacing w:after="0" w:line="11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Cost of subscription and support revenue includes personnel costs for our global customer support and technical operations organizations, customer support and repair costs, third-party professional services costs, data center and cloud hosting service costs, amortization of acquired intangible assets and capitalized software development costs, and shared costs. We expect our cost of subscription and support revenue to increase as our installed end-customer base grows and adoption of our cloud-based subscription offerings increases.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9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3080" w:type="dxa"/>
            <w:vAlign w:val="bottom"/>
          </w:tcPr>
          <w:p>
            <w:pPr>
              <w:spacing w:after="0"/>
              <w:rPr>
                <w:sz w:val="17"/>
                <w:szCs w:val="17"/>
                <w:color w:val="auto"/>
              </w:rPr>
            </w:pPr>
          </w:p>
        </w:tc>
        <w:tc>
          <w:tcPr>
            <w:tcW w:w="122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3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243"/>
        </w:trPr>
        <w:tc>
          <w:tcPr>
            <w:tcW w:w="4040" w:type="dxa"/>
            <w:vAlign w:val="bottom"/>
            <w:gridSpan w:val="3"/>
            <w:shd w:val="clear" w:color="auto" w:fill="E3E3E3"/>
          </w:tcPr>
          <w:p>
            <w:pPr>
              <w:ind w:left="20"/>
              <w:spacing w:after="0"/>
              <w:rPr>
                <w:sz w:val="20"/>
                <w:szCs w:val="20"/>
                <w:color w:val="auto"/>
              </w:rPr>
            </w:pPr>
            <w:r>
              <w:rPr>
                <w:rFonts w:ascii="Arial" w:cs="Arial" w:eastAsia="Arial" w:hAnsi="Arial"/>
                <w:sz w:val="16"/>
                <w:szCs w:val="16"/>
                <w:color w:val="auto"/>
              </w:rPr>
              <w:t>Cost of subscription and support revenue  $   435.7</w:t>
            </w:r>
          </w:p>
        </w:tc>
        <w:tc>
          <w:tcPr>
            <w:tcW w:w="26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381.4</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40" w:type="dxa"/>
            <w:vAlign w:val="bottom"/>
            <w:gridSpan w:val="3"/>
            <w:shd w:val="clear" w:color="auto" w:fill="E3E3E3"/>
          </w:tcPr>
          <w:p>
            <w:pPr>
              <w:ind w:left="100"/>
              <w:spacing w:after="0"/>
              <w:rPr>
                <w:sz w:val="20"/>
                <w:szCs w:val="20"/>
                <w:color w:val="auto"/>
              </w:rPr>
            </w:pPr>
            <w:r>
              <w:rPr>
                <w:rFonts w:ascii="Arial" w:cs="Arial" w:eastAsia="Arial" w:hAnsi="Arial"/>
                <w:sz w:val="16"/>
                <w:szCs w:val="16"/>
                <w:color w:val="auto"/>
              </w:rPr>
              <w:t>14.2 %  $</w:t>
            </w:r>
          </w:p>
        </w:tc>
        <w:tc>
          <w:tcPr>
            <w:tcW w:w="720" w:type="dxa"/>
            <w:vAlign w:val="bottom"/>
            <w:shd w:val="clear" w:color="auto" w:fill="E3E3E3"/>
          </w:tcPr>
          <w:p>
            <w:pPr>
              <w:ind w:left="120"/>
              <w:spacing w:after="0"/>
              <w:rPr>
                <w:sz w:val="20"/>
                <w:szCs w:val="20"/>
                <w:color w:val="auto"/>
              </w:rPr>
            </w:pPr>
            <w:r>
              <w:rPr>
                <w:rFonts w:ascii="Arial" w:cs="Arial" w:eastAsia="Arial" w:hAnsi="Arial"/>
                <w:sz w:val="16"/>
                <w:szCs w:val="16"/>
                <w:color w:val="auto"/>
              </w:rPr>
              <w:t>1,242.0</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1,088.9</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14.1 %</w:t>
            </w:r>
          </w:p>
        </w:tc>
      </w:tr>
    </w:tbl>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Cost of subscription and support revenue increased for the three and nine months ended April 30, 2024 compared to the same periods in 2023 primarily due to increased costs to support the growth of our subscription and support offerings. Cloud hosting service costs, which support our cloud-based subscription offerings, increased $30.4 million for the three months ended April 30, 2024 compared to the same period in 2023, and increased $78.8 million for the nine months ended April 30, 2024 compared to the same period in 2023. Personnel costs grew $6.5 million for the three months ended April 30, 2024 compared to the same period in 2023, and grew $39.4 million for the nine months ended April 30, 2024 compared to the same period in 2023, primarily due to headcount growth. The increase in cost of subscription and support revenue for the three months ended April 30, 2024 was further driven by amortization of intangible assets from our recent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GROSS MARGIN</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Gross margin has been and will continue to be affected by a variety of factors, including the introduction of new products, manufacturing costs, the average sales price of our products, cloud hosting service costs, personnel costs, the mix of products sold, and the mix of revenue between product and subscription and support offerings. Our virtual and higher-end firewall products generally have higher gross margins than our lower-end firewall products within each product series. We expect our gross margins to vary over time depending on the factors described above.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April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 April 30,</w:t>
            </w:r>
          </w:p>
        </w:tc>
        <w:tc>
          <w:tcPr>
            <w:tcW w:w="1020" w:type="dxa"/>
            <w:vAlign w:val="bottom"/>
            <w:tcBorders>
              <w:bottom w:val="single" w:sz="8" w:color="auto"/>
            </w:tcBorders>
          </w:tcPr>
          <w:p>
            <w:pPr>
              <w:spacing w:after="0"/>
              <w:rPr>
                <w:sz w:val="17"/>
                <w:szCs w:val="17"/>
                <w:color w:val="auto"/>
              </w:rPr>
            </w:pPr>
          </w:p>
        </w:tc>
      </w:tr>
      <w:tr>
        <w:trPr>
          <w:trHeight w:val="223"/>
        </w:trPr>
        <w:tc>
          <w:tcPr>
            <w:tcW w:w="2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7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76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rPr>
              <w:t>2023</w:t>
            </w:r>
          </w:p>
        </w:tc>
      </w:tr>
      <w:tr>
        <w:trPr>
          <w:trHeight w:val="223"/>
        </w:trPr>
        <w:tc>
          <w:tcPr>
            <w:tcW w:w="2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Gross Margin</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Gross Margin</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Gross Margin</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Gross Margin</w:t>
            </w:r>
          </w:p>
        </w:tc>
      </w:tr>
      <w:tr>
        <w:trPr>
          <w:trHeight w:val="223"/>
        </w:trPr>
        <w:tc>
          <w:tcPr>
            <w:tcW w:w="2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43"/>
        </w:trPr>
        <w:tc>
          <w:tcPr>
            <w:tcW w:w="278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Product</w:t>
            </w: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313.1</w:t>
            </w: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80.1 %</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294.7</w:t>
            </w:r>
          </w:p>
        </w:tc>
        <w:tc>
          <w:tcPr>
            <w:tcW w:w="8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75.9 %</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879.3</w:t>
            </w:r>
          </w:p>
        </w:tc>
        <w:tc>
          <w:tcPr>
            <w:tcW w:w="11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78.3 %</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757.0</w:t>
            </w:r>
          </w:p>
        </w:tc>
        <w:tc>
          <w:tcPr>
            <w:tcW w:w="80" w:type="dxa"/>
            <w:vAlign w:val="bottom"/>
            <w:shd w:val="clear" w:color="auto" w:fill="E3E3E3"/>
          </w:tcPr>
          <w:p>
            <w:pPr>
              <w:spacing w:after="0"/>
              <w:rPr>
                <w:sz w:val="21"/>
                <w:szCs w:val="21"/>
                <w:color w:val="auto"/>
              </w:rPr>
            </w:pPr>
          </w:p>
        </w:tc>
        <w:tc>
          <w:tcPr>
            <w:tcW w:w="10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70.7 %</w:t>
            </w:r>
          </w:p>
        </w:tc>
      </w:tr>
      <w:tr>
        <w:trPr>
          <w:trHeight w:val="237"/>
        </w:trPr>
        <w:tc>
          <w:tcPr>
            <w:tcW w:w="2780" w:type="dxa"/>
            <w:vAlign w:val="bottom"/>
            <w:tcBorders>
              <w:bottom w:val="single" w:sz="8" w:color="E3E3E3"/>
            </w:tcBorders>
          </w:tcPr>
          <w:p>
            <w:pPr>
              <w:ind w:left="20"/>
              <w:spacing w:after="0"/>
              <w:rPr>
                <w:sz w:val="20"/>
                <w:szCs w:val="20"/>
                <w:color w:val="auto"/>
              </w:rPr>
            </w:pPr>
            <w:r>
              <w:rPr>
                <w:rFonts w:ascii="Arial" w:cs="Arial" w:eastAsia="Arial" w:hAnsi="Arial"/>
                <w:sz w:val="16"/>
                <w:szCs w:val="16"/>
                <w:color w:val="auto"/>
              </w:rPr>
              <w:t>Subscription and support</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1,158.1</w:t>
            </w:r>
          </w:p>
        </w:tc>
        <w:tc>
          <w:tcPr>
            <w:tcW w:w="110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72.7 %</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951.4</w:t>
            </w:r>
          </w:p>
        </w:tc>
        <w:tc>
          <w:tcPr>
            <w:tcW w:w="80" w:type="dxa"/>
            <w:vAlign w:val="bottom"/>
            <w:tcBorders>
              <w:bottom w:val="single" w:sz="8" w:color="E3E3E3"/>
            </w:tcBorders>
          </w:tcPr>
          <w:p>
            <w:pPr>
              <w:spacing w:after="0"/>
              <w:rPr>
                <w:sz w:val="20"/>
                <w:szCs w:val="20"/>
                <w:color w:val="auto"/>
              </w:rPr>
            </w:pPr>
          </w:p>
        </w:tc>
        <w:tc>
          <w:tcPr>
            <w:tcW w:w="102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71.4 %</w:t>
            </w:r>
          </w:p>
        </w:tc>
        <w:tc>
          <w:tcPr>
            <w:tcW w:w="10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3,473.2</w:t>
            </w:r>
          </w:p>
        </w:tc>
        <w:tc>
          <w:tcPr>
            <w:tcW w:w="110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73.7 %</w:t>
            </w:r>
          </w:p>
        </w:tc>
        <w:tc>
          <w:tcPr>
            <w:tcW w:w="120" w:type="dxa"/>
            <w:vAlign w:val="bottom"/>
            <w:tcBorders>
              <w:bottom w:val="single" w:sz="8" w:color="E3E3E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2,779.5</w:t>
            </w:r>
          </w:p>
        </w:tc>
        <w:tc>
          <w:tcPr>
            <w:tcW w:w="80" w:type="dxa"/>
            <w:vAlign w:val="bottom"/>
            <w:tcBorders>
              <w:bottom w:val="single" w:sz="8" w:color="E3E3E3"/>
            </w:tcBorders>
          </w:tcPr>
          <w:p>
            <w:pPr>
              <w:spacing w:after="0"/>
              <w:rPr>
                <w:sz w:val="20"/>
                <w:szCs w:val="20"/>
                <w:color w:val="auto"/>
              </w:rPr>
            </w:pPr>
          </w:p>
        </w:tc>
        <w:tc>
          <w:tcPr>
            <w:tcW w:w="1020" w:type="dxa"/>
            <w:vAlign w:val="bottom"/>
            <w:tcBorders>
              <w:bottom w:val="single" w:sz="8" w:color="E3E3E3"/>
            </w:tcBorders>
          </w:tcPr>
          <w:p>
            <w:pPr>
              <w:jc w:val="right"/>
              <w:spacing w:after="0"/>
              <w:rPr>
                <w:sz w:val="20"/>
                <w:szCs w:val="20"/>
                <w:color w:val="auto"/>
              </w:rPr>
            </w:pPr>
            <w:r>
              <w:rPr>
                <w:rFonts w:ascii="Arial" w:cs="Arial" w:eastAsia="Arial" w:hAnsi="Arial"/>
                <w:sz w:val="16"/>
                <w:szCs w:val="16"/>
                <w:color w:val="auto"/>
              </w:rPr>
              <w:t>71.9 %</w:t>
            </w:r>
          </w:p>
        </w:tc>
      </w:tr>
      <w:tr>
        <w:trPr>
          <w:trHeight w:val="268"/>
        </w:trPr>
        <w:tc>
          <w:tcPr>
            <w:tcW w:w="2780" w:type="dxa"/>
            <w:vAlign w:val="bottom"/>
            <w:tcBorders>
              <w:bottom w:val="single" w:sz="8" w:color="E3E3E3"/>
            </w:tcBorders>
            <w:shd w:val="clear" w:color="auto" w:fill="E3E3E3"/>
          </w:tcPr>
          <w:p>
            <w:pPr>
              <w:ind w:left="240"/>
              <w:spacing w:after="0"/>
              <w:rPr>
                <w:sz w:val="20"/>
                <w:szCs w:val="20"/>
                <w:color w:val="auto"/>
              </w:rPr>
            </w:pPr>
            <w:r>
              <w:rPr>
                <w:rFonts w:ascii="Arial" w:cs="Arial" w:eastAsia="Arial" w:hAnsi="Arial"/>
                <w:sz w:val="16"/>
                <w:szCs w:val="16"/>
                <w:color w:val="auto"/>
              </w:rPr>
              <w:t>Total gross profit</w:t>
            </w:r>
          </w:p>
        </w:tc>
        <w:tc>
          <w:tcPr>
            <w:tcW w:w="22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1,471.2</w:t>
            </w:r>
          </w:p>
        </w:tc>
        <w:tc>
          <w:tcPr>
            <w:tcW w:w="110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74.1 %</w:t>
            </w:r>
          </w:p>
        </w:tc>
        <w:tc>
          <w:tcPr>
            <w:tcW w:w="100" w:type="dxa"/>
            <w:vAlign w:val="bottom"/>
            <w:tcBorders>
              <w:bottom w:val="single" w:sz="8" w:color="E3E3E3"/>
            </w:tcBorders>
            <w:shd w:val="clear" w:color="auto" w:fill="E3E3E3"/>
          </w:tcPr>
          <w:p>
            <w:pPr>
              <w:spacing w:after="0"/>
              <w:rPr>
                <w:sz w:val="22"/>
                <w:szCs w:val="22"/>
                <w:color w:val="auto"/>
              </w:rPr>
            </w:pPr>
          </w:p>
        </w:tc>
        <w:tc>
          <w:tcPr>
            <w:tcW w:w="22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1,246.1</w:t>
            </w:r>
          </w:p>
        </w:tc>
        <w:tc>
          <w:tcPr>
            <w:tcW w:w="80" w:type="dxa"/>
            <w:vAlign w:val="bottom"/>
            <w:tcBorders>
              <w:bottom w:val="single" w:sz="8" w:color="E3E3E3"/>
            </w:tcBorders>
            <w:shd w:val="clear" w:color="auto" w:fill="E3E3E3"/>
          </w:tcPr>
          <w:p>
            <w:pPr>
              <w:spacing w:after="0"/>
              <w:rPr>
                <w:sz w:val="22"/>
                <w:szCs w:val="22"/>
                <w:color w:val="auto"/>
              </w:rPr>
            </w:pPr>
          </w:p>
        </w:tc>
        <w:tc>
          <w:tcPr>
            <w:tcW w:w="10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72.4 %</w:t>
            </w:r>
          </w:p>
        </w:tc>
        <w:tc>
          <w:tcPr>
            <w:tcW w:w="10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4,352.5</w:t>
            </w:r>
          </w:p>
        </w:tc>
        <w:tc>
          <w:tcPr>
            <w:tcW w:w="110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74.6 %</w:t>
            </w:r>
          </w:p>
        </w:tc>
        <w:tc>
          <w:tcPr>
            <w:tcW w:w="120" w:type="dxa"/>
            <w:vAlign w:val="bottom"/>
            <w:tcBorders>
              <w:bottom w:val="single" w:sz="8" w:color="E3E3E3"/>
            </w:tcBorders>
            <w:shd w:val="clear" w:color="auto" w:fill="E3E3E3"/>
          </w:tcPr>
          <w:p>
            <w:pPr>
              <w:spacing w:after="0"/>
              <w:rPr>
                <w:sz w:val="22"/>
                <w:szCs w:val="22"/>
                <w:color w:val="auto"/>
              </w:rPr>
            </w:pPr>
          </w:p>
        </w:tc>
        <w:tc>
          <w:tcPr>
            <w:tcW w:w="200" w:type="dxa"/>
            <w:vAlign w:val="bottom"/>
            <w:tcBorders>
              <w:bottom w:val="single" w:sz="8" w:color="auto"/>
            </w:tcBorders>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E3E3E3"/>
          </w:tcPr>
          <w:p>
            <w:pPr>
              <w:jc w:val="right"/>
              <w:ind w:right="3"/>
              <w:spacing w:after="0"/>
              <w:rPr>
                <w:sz w:val="20"/>
                <w:szCs w:val="20"/>
                <w:color w:val="auto"/>
              </w:rPr>
            </w:pPr>
            <w:r>
              <w:rPr>
                <w:rFonts w:ascii="Arial" w:cs="Arial" w:eastAsia="Arial" w:hAnsi="Arial"/>
                <w:sz w:val="16"/>
                <w:szCs w:val="16"/>
                <w:color w:val="auto"/>
              </w:rPr>
              <w:t>3,536.5</w:t>
            </w:r>
          </w:p>
        </w:tc>
        <w:tc>
          <w:tcPr>
            <w:tcW w:w="80" w:type="dxa"/>
            <w:vAlign w:val="bottom"/>
            <w:tcBorders>
              <w:bottom w:val="single" w:sz="8" w:color="E3E3E3"/>
            </w:tcBorders>
            <w:shd w:val="clear" w:color="auto" w:fill="E3E3E3"/>
          </w:tcPr>
          <w:p>
            <w:pPr>
              <w:spacing w:after="0"/>
              <w:rPr>
                <w:sz w:val="22"/>
                <w:szCs w:val="22"/>
                <w:color w:val="auto"/>
              </w:rPr>
            </w:pPr>
          </w:p>
        </w:tc>
        <w:tc>
          <w:tcPr>
            <w:tcW w:w="1020" w:type="dxa"/>
            <w:vAlign w:val="bottom"/>
            <w:tcBorders>
              <w:bottom w:val="single" w:sz="8" w:color="E3E3E3"/>
            </w:tcBorders>
            <w:shd w:val="clear" w:color="auto" w:fill="E3E3E3"/>
          </w:tcPr>
          <w:p>
            <w:pPr>
              <w:jc w:val="right"/>
              <w:spacing w:after="0"/>
              <w:rPr>
                <w:sz w:val="20"/>
                <w:szCs w:val="20"/>
                <w:color w:val="auto"/>
              </w:rPr>
            </w:pPr>
            <w:r>
              <w:rPr>
                <w:rFonts w:ascii="Arial" w:cs="Arial" w:eastAsia="Arial" w:hAnsi="Arial"/>
                <w:sz w:val="16"/>
                <w:szCs w:val="16"/>
                <w:color w:val="auto"/>
              </w:rPr>
              <w:t>71.6 %</w:t>
            </w:r>
          </w:p>
        </w:tc>
      </w:tr>
      <w:tr>
        <w:trPr>
          <w:trHeight w:val="20"/>
        </w:trPr>
        <w:tc>
          <w:tcPr>
            <w:tcW w:w="278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110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bottom w:val="single" w:sz="8" w:color="auto"/>
            </w:tcBorders>
          </w:tcPr>
          <w:p>
            <w:pPr>
              <w:spacing w:after="0" w:line="20" w:lineRule="exact"/>
              <w:rPr>
                <w:sz w:val="1"/>
                <w:szCs w:val="1"/>
                <w:color w:val="auto"/>
              </w:rPr>
            </w:pPr>
          </w:p>
        </w:tc>
        <w:tc>
          <w:tcPr>
            <w:tcW w:w="740" w:type="dxa"/>
            <w:vAlign w:val="bottom"/>
            <w:tcBorders>
              <w:top w:val="single" w:sz="8" w:color="E3E3E3"/>
              <w:bottom w:val="single" w:sz="8" w:color="auto"/>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102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110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bottom w:val="single" w:sz="8" w:color="auto"/>
            </w:tcBorders>
          </w:tcPr>
          <w:p>
            <w:pPr>
              <w:spacing w:after="0" w:line="20" w:lineRule="exact"/>
              <w:rPr>
                <w:sz w:val="1"/>
                <w:szCs w:val="1"/>
                <w:color w:val="auto"/>
              </w:rPr>
            </w:pPr>
          </w:p>
        </w:tc>
        <w:tc>
          <w:tcPr>
            <w:tcW w:w="720" w:type="dxa"/>
            <w:vAlign w:val="bottom"/>
            <w:tcBorders>
              <w:top w:val="single" w:sz="8" w:color="E3E3E3"/>
              <w:bottom w:val="single" w:sz="8" w:color="auto"/>
            </w:tcBorders>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1020" w:type="dxa"/>
            <w:vAlign w:val="bottom"/>
            <w:tcBorders>
              <w:top w:val="single" w:sz="8" w:color="E3E3E3"/>
            </w:tcBorders>
          </w:tcPr>
          <w:p>
            <w:pPr>
              <w:spacing w:after="0" w:line="20" w:lineRule="exact"/>
              <w:rPr>
                <w:sz w:val="1"/>
                <w:szCs w:val="1"/>
                <w:color w:val="auto"/>
              </w:rPr>
            </w:pPr>
          </w:p>
        </w:tc>
      </w:tr>
    </w:tbl>
    <w:p>
      <w:pPr>
        <w:spacing w:after="0" w:line="175"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Product gross margin increased for the three months ended April 30, 2024 compared to the same period in 2023 primarily due to lower other product costs and increased software revenue. Product gross margin increased for the nine months ended April 30, 2024 compared to the same period in 2023 primarily due to lower costs largely driven by an easing of supply chain challenges and increased software revenue.</w:t>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Subscription and support gross margin increased for the three and nine months ended April 30, 2024 compared to the same periods in 2023 primarily due to our growth in subscription and support revenue, which outpaced the subscription and support costs.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OPERATING EXPENSES</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expenses. Personnel costs are the most significant component of operating expenses and consist of salaries, benefits, bonuses, share-based compensation, travel and entertainment, and with regard to sales and marketing expense, sales commissions. Our operating expenses also include shared costs, which consist of certain facilities, depreciation, benefits, recruiting, and information technology costs that we allocate based on headcount to each department. We expect operating expenses generally to increase in absolute dollars and to decrease over the long term as a percentage of revenue as we continue to scale our business. As of April 30, 2024, we expect to recognize approximately $2.2 billion of share-based compensation expense over a weighted-average period of approximately 2.7 years, excluding additional share-based compensation expense related to any future grants of share-based awards. Share-based compensation expense is generally recognized on a straight-line basis over the requisite service periods of the awards.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1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Research and development expense consists primarily of personnel costs. Research and development expense also includes prototype-related expenses and shared costs. We expect research and development expense to increase in absolute dollars as we continue to invest in our future products and services, although our research and development expense may fluctuate as a percentage of total revenue.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6"/>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center"/>
              <w:ind w:left="366"/>
              <w:spacing w:after="0"/>
              <w:rPr>
                <w:sz w:val="20"/>
                <w:szCs w:val="20"/>
                <w:color w:val="auto"/>
              </w:rPr>
            </w:pPr>
            <w:r>
              <w:rPr>
                <w:rFonts w:ascii="Arial" w:cs="Arial" w:eastAsia="Arial" w:hAnsi="Arial"/>
                <w:sz w:val="14"/>
                <w:szCs w:val="14"/>
                <w:b w:val="1"/>
                <w:bCs w:val="1"/>
                <w:color w:val="auto"/>
              </w:rPr>
              <w:t>April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ind w:left="500"/>
              <w:spacing w:after="0"/>
              <w:rPr>
                <w:sz w:val="20"/>
                <w:szCs w:val="20"/>
                <w:color w:val="auto"/>
              </w:rPr>
            </w:pPr>
            <w:r>
              <w:rPr>
                <w:rFonts w:ascii="Arial" w:cs="Arial" w:eastAsia="Arial" w:hAnsi="Arial"/>
                <w:sz w:val="14"/>
                <w:szCs w:val="14"/>
                <w:b w:val="1"/>
                <w:bCs w:val="1"/>
                <w:color w:val="auto"/>
              </w:rPr>
              <w:t>April 30,</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9"/>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640" w:type="dxa"/>
            <w:vAlign w:val="bottom"/>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8"/>
                <w:szCs w:val="18"/>
                <w:color w:val="auto"/>
              </w:rPr>
            </w:pPr>
          </w:p>
        </w:tc>
      </w:tr>
      <w:tr>
        <w:trPr>
          <w:trHeight w:val="223"/>
        </w:trPr>
        <w:tc>
          <w:tcPr>
            <w:tcW w:w="2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29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243"/>
        </w:trPr>
        <w:tc>
          <w:tcPr>
            <w:tcW w:w="2980" w:type="dxa"/>
            <w:vAlign w:val="bottom"/>
            <w:shd w:val="clear" w:color="auto" w:fill="E3E3E3"/>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457.2</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413.7</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980" w:type="dxa"/>
            <w:vAlign w:val="bottom"/>
            <w:gridSpan w:val="3"/>
            <w:shd w:val="clear" w:color="auto" w:fill="E3E3E3"/>
          </w:tcPr>
          <w:p>
            <w:pPr>
              <w:jc w:val="right"/>
              <w:ind w:right="100"/>
              <w:spacing w:after="0"/>
              <w:rPr>
                <w:sz w:val="20"/>
                <w:szCs w:val="20"/>
                <w:color w:val="auto"/>
              </w:rPr>
            </w:pPr>
            <w:r>
              <w:rPr>
                <w:rFonts w:ascii="Arial" w:cs="Arial" w:eastAsia="Arial" w:hAnsi="Arial"/>
                <w:sz w:val="16"/>
                <w:szCs w:val="16"/>
                <w:color w:val="auto"/>
              </w:rPr>
              <w:t>10.5 %  $</w:t>
            </w:r>
          </w:p>
        </w:tc>
        <w:tc>
          <w:tcPr>
            <w:tcW w:w="720" w:type="dxa"/>
            <w:vAlign w:val="bottom"/>
            <w:shd w:val="clear" w:color="auto" w:fill="E3E3E3"/>
          </w:tcPr>
          <w:p>
            <w:pPr>
              <w:ind w:left="120"/>
              <w:spacing w:after="0"/>
              <w:rPr>
                <w:sz w:val="20"/>
                <w:szCs w:val="20"/>
                <w:color w:val="auto"/>
              </w:rPr>
            </w:pPr>
            <w:r>
              <w:rPr>
                <w:rFonts w:ascii="Arial" w:cs="Arial" w:eastAsia="Arial" w:hAnsi="Arial"/>
                <w:sz w:val="16"/>
                <w:szCs w:val="16"/>
                <w:color w:val="auto"/>
              </w:rPr>
              <w:t>1,314.6</w:t>
            </w:r>
          </w:p>
        </w:tc>
        <w:tc>
          <w:tcPr>
            <w:tcW w:w="120" w:type="dxa"/>
            <w:vAlign w:val="bottom"/>
            <w:shd w:val="clear" w:color="auto" w:fill="E3E3E3"/>
          </w:tcPr>
          <w:p>
            <w:pPr>
              <w:spacing w:after="0"/>
              <w:rPr>
                <w:sz w:val="21"/>
                <w:szCs w:val="21"/>
                <w:color w:val="auto"/>
              </w:rPr>
            </w:pPr>
          </w:p>
        </w:tc>
        <w:tc>
          <w:tcPr>
            <w:tcW w:w="26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1,189.6</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10.5 %</w:t>
            </w:r>
          </w:p>
        </w:tc>
      </w:tr>
    </w:tbl>
    <w:p>
      <w:pPr>
        <w:spacing w:after="0" w:line="17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Research and development expense increased for the three and nine months ended April 30, 2024 compared to the same periods in 2023 primarily due to increased personnel costs, which grew $29.4 million for the three months ended April 30, 2024 compared to the same period in 2023, and grew $91.1 million for the nine months ended April 30, 2024 compared to the same period in 2023, largely due to headcount growth. The remaining increase in research and development expense was further driven by increased shared costs.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13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Sales and marketing expense consists primarily of personnel costs, including commission expense. Sales and marketing expense also includes costs for market development programs, promotional and other marketing costs, professional services, and shared costs. We continue to strategically invest in headcount and have grown our sales presence. We expect sales and marketing expense to continue to increase in absolute dollars as we increase the size of our sales and marketing organizations to grow our customer base, increase touch points with end-customers, and expand our global presence, although our sales and marketing expense may fluctuate as a percentage of total 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5"/>
        </w:trPr>
        <w:tc>
          <w:tcPr>
            <w:tcW w:w="3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April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3"/>
        </w:trPr>
        <w:tc>
          <w:tcPr>
            <w:tcW w:w="3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9"/>
                <w:szCs w:val="19"/>
                <w:color w:val="auto"/>
              </w:rPr>
            </w:pPr>
          </w:p>
        </w:tc>
      </w:tr>
      <w:tr>
        <w:trPr>
          <w:trHeight w:val="223"/>
        </w:trPr>
        <w:tc>
          <w:tcPr>
            <w:tcW w:w="3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0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243"/>
        </w:trPr>
        <w:tc>
          <w:tcPr>
            <w:tcW w:w="3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Sales and marketing</w:t>
            </w:r>
          </w:p>
        </w:tc>
        <w:tc>
          <w:tcPr>
            <w:tcW w:w="16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E3E3E3"/>
          </w:tcPr>
          <w:p>
            <w:pPr>
              <w:jc w:val="right"/>
              <w:ind w:right="6"/>
              <w:spacing w:after="0"/>
              <w:rPr>
                <w:sz w:val="20"/>
                <w:szCs w:val="20"/>
                <w:color w:val="auto"/>
              </w:rPr>
            </w:pPr>
            <w:r>
              <w:rPr>
                <w:rFonts w:ascii="Arial" w:cs="Arial" w:eastAsia="Arial" w:hAnsi="Arial"/>
                <w:sz w:val="16"/>
                <w:szCs w:val="16"/>
                <w:color w:val="auto"/>
              </w:rPr>
              <w:t>718.7</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639.5</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980" w:type="dxa"/>
            <w:vAlign w:val="bottom"/>
            <w:gridSpan w:val="3"/>
            <w:shd w:val="clear" w:color="auto" w:fill="E3E3E3"/>
          </w:tcPr>
          <w:p>
            <w:pPr>
              <w:jc w:val="right"/>
              <w:ind w:right="100"/>
              <w:spacing w:after="0"/>
              <w:rPr>
                <w:sz w:val="20"/>
                <w:szCs w:val="20"/>
                <w:color w:val="auto"/>
              </w:rPr>
            </w:pPr>
            <w:r>
              <w:rPr>
                <w:rFonts w:ascii="Arial" w:cs="Arial" w:eastAsia="Arial" w:hAnsi="Arial"/>
                <w:sz w:val="16"/>
                <w:szCs w:val="16"/>
                <w:color w:val="auto"/>
              </w:rPr>
              <w:t>12.4 %  $</w:t>
            </w:r>
          </w:p>
        </w:tc>
        <w:tc>
          <w:tcPr>
            <w:tcW w:w="720" w:type="dxa"/>
            <w:vAlign w:val="bottom"/>
            <w:shd w:val="clear" w:color="auto" w:fill="E3E3E3"/>
          </w:tcPr>
          <w:p>
            <w:pPr>
              <w:ind w:left="100"/>
              <w:spacing w:after="0"/>
              <w:rPr>
                <w:sz w:val="20"/>
                <w:szCs w:val="20"/>
                <w:color w:val="auto"/>
              </w:rPr>
            </w:pPr>
            <w:r>
              <w:rPr>
                <w:rFonts w:ascii="Arial" w:cs="Arial" w:eastAsia="Arial" w:hAnsi="Arial"/>
                <w:sz w:val="16"/>
                <w:szCs w:val="16"/>
                <w:color w:val="auto"/>
              </w:rPr>
              <w:t>2,052.2</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1,880.0</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E3E3E3"/>
          </w:tcPr>
          <w:p>
            <w:pPr>
              <w:spacing w:after="0"/>
              <w:rPr>
                <w:sz w:val="21"/>
                <w:szCs w:val="21"/>
                <w:color w:val="auto"/>
              </w:rPr>
            </w:pPr>
          </w:p>
        </w:tc>
        <w:tc>
          <w:tcPr>
            <w:tcW w:w="420" w:type="dxa"/>
            <w:vAlign w:val="bottom"/>
            <w:shd w:val="clear" w:color="auto" w:fill="E3E3E3"/>
          </w:tcPr>
          <w:p>
            <w:pPr>
              <w:spacing w:after="0"/>
              <w:rPr>
                <w:sz w:val="21"/>
                <w:szCs w:val="21"/>
                <w:color w:val="auto"/>
              </w:rPr>
            </w:pPr>
          </w:p>
        </w:tc>
        <w:tc>
          <w:tcPr>
            <w:tcW w:w="6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9.2 %</w:t>
            </w:r>
          </w:p>
        </w:tc>
      </w:tr>
    </w:tbl>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Sales and marketing expense increased for the three and nine months ended April 30, 2024 compared to the same periods in 2023 primarily due to increased personnel costs and costs associated with sales and marketing events and go-to-market initiatives. Personnel costs grew $42.7 million for the three months ended April 30, 2024 compared to the same period in 2023, and grew $76.7 million for the nine months ended April 30, 2024 compared to the same period in 2023, largely due to headcount growth. Costs associated with sales and marketing events and go-to-market initiatives grew $22.3 million for the three months ended April 30, 2024 compared to the same period in 2023, and grew $83.7 million for the nine months ended April 30, 2024 compared to the same period in 2023.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AND ADMINISTRATIVE</w:t>
      </w:r>
    </w:p>
    <w:p>
      <w:pPr>
        <w:spacing w:after="0" w:line="11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General and administrative expense consists primarily of personnel costs and shared costs for our executive, finance, human resources, information technology, and legal organizations, and professional services costs, which consist primarily of legal, auditing, accounting, and other consulting costs. We expect general and administrative expense to increase in absolute dollars over time as we increase the size of our general and administrative organizations and incur additional costs to support our business growth, although our general and administrative expense may fluctuate as a percentage of total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3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0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243"/>
        </w:trPr>
        <w:tc>
          <w:tcPr>
            <w:tcW w:w="3080" w:type="dxa"/>
            <w:vAlign w:val="bottom"/>
            <w:shd w:val="clear" w:color="auto" w:fill="E3E3E3"/>
          </w:tcPr>
          <w:p>
            <w:pPr>
              <w:ind w:left="2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118.6</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4.4</w:t>
            </w:r>
          </w:p>
        </w:tc>
        <w:tc>
          <w:tcPr>
            <w:tcW w:w="10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940" w:type="dxa"/>
            <w:vAlign w:val="bottom"/>
            <w:gridSpan w:val="3"/>
            <w:shd w:val="clear" w:color="auto" w:fill="E3E3E3"/>
          </w:tcPr>
          <w:p>
            <w:pPr>
              <w:jc w:val="right"/>
              <w:ind w:right="100"/>
              <w:spacing w:after="0"/>
              <w:rPr>
                <w:sz w:val="20"/>
                <w:szCs w:val="20"/>
                <w:color w:val="auto"/>
              </w:rPr>
            </w:pPr>
            <w:r>
              <w:rPr>
                <w:rFonts w:ascii="Arial" w:cs="Arial" w:eastAsia="Arial" w:hAnsi="Arial"/>
                <w:sz w:val="16"/>
                <w:szCs w:val="16"/>
                <w:color w:val="auto"/>
              </w:rPr>
              <w:t>3.9 %  $</w:t>
            </w:r>
          </w:p>
        </w:tc>
        <w:tc>
          <w:tcPr>
            <w:tcW w:w="720" w:type="dxa"/>
            <w:vAlign w:val="bottom"/>
            <w:shd w:val="clear" w:color="auto" w:fill="E3E3E3"/>
          </w:tcPr>
          <w:p>
            <w:pPr>
              <w:jc w:val="right"/>
              <w:ind w:right="6"/>
              <w:spacing w:after="0"/>
              <w:rPr>
                <w:sz w:val="20"/>
                <w:szCs w:val="20"/>
                <w:color w:val="auto"/>
              </w:rPr>
            </w:pPr>
            <w:r>
              <w:rPr>
                <w:rFonts w:ascii="Arial" w:cs="Arial" w:eastAsia="Arial" w:hAnsi="Arial"/>
                <w:sz w:val="16"/>
                <w:szCs w:val="16"/>
                <w:color w:val="auto"/>
              </w:rPr>
              <w:t>540.2</w:t>
            </w:r>
          </w:p>
        </w:tc>
        <w:tc>
          <w:tcPr>
            <w:tcW w:w="100" w:type="dxa"/>
            <w:vAlign w:val="bottom"/>
            <w:shd w:val="clear" w:color="auto" w:fill="E3E3E3"/>
          </w:tcPr>
          <w:p>
            <w:pPr>
              <w:spacing w:after="0"/>
              <w:rPr>
                <w:sz w:val="21"/>
                <w:szCs w:val="21"/>
                <w:color w:val="auto"/>
              </w:rPr>
            </w:pPr>
          </w:p>
        </w:tc>
        <w:tc>
          <w:tcPr>
            <w:tcW w:w="30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333.1</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62.2 %</w:t>
            </w:r>
          </w:p>
        </w:tc>
      </w:tr>
    </w:tbl>
    <w:p>
      <w:pPr>
        <w:spacing w:after="0" w:line="175"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General and administrative expense was relatively flat for the three months ended April 30, 2024 compared to the same period in 2023. General and administrative expense increased for the nine months ended April 30, 2024 compared to the same period in 2023 primarily due to a litigation accrual of $180.5 million during the nine months ended April 30, 2024 relating to an ongoing patent infringement lawsuit.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INTEREST EXPENSE</w:t>
      </w:r>
    </w:p>
    <w:p>
      <w:pPr>
        <w:spacing w:after="0" w:line="141"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Interest expense primarily consists of interest expense related to our 0.75% Convertible Senior Notes due 2023 (the “2023 Notes”) and our 0.375% Convertible Senior Notes due 2025 (the “2025 Notes,” and together with “2023 Notes,” the “Notes”).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5"/>
        </w:trPr>
        <w:tc>
          <w:tcPr>
            <w:tcW w:w="3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left="366"/>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3"/>
        </w:trPr>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9"/>
                <w:szCs w:val="19"/>
                <w:color w:val="auto"/>
              </w:rPr>
            </w:pPr>
          </w:p>
        </w:tc>
      </w:tr>
      <w:tr>
        <w:trPr>
          <w:trHeight w:val="223"/>
        </w:trPr>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3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243"/>
        </w:trPr>
        <w:tc>
          <w:tcPr>
            <w:tcW w:w="3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E3E3E3"/>
          </w:tcPr>
          <w:p>
            <w:pPr>
              <w:spacing w:after="0"/>
              <w:rPr>
                <w:sz w:val="21"/>
                <w:szCs w:val="21"/>
                <w:color w:val="auto"/>
              </w:rPr>
            </w:pPr>
          </w:p>
        </w:tc>
        <w:tc>
          <w:tcPr>
            <w:tcW w:w="300" w:type="dxa"/>
            <w:vAlign w:val="bottom"/>
            <w:shd w:val="clear" w:color="auto" w:fill="E3E3E3"/>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7.8</w:t>
            </w:r>
          </w:p>
        </w:tc>
        <w:tc>
          <w:tcPr>
            <w:tcW w:w="100" w:type="dxa"/>
            <w:vAlign w:val="bottom"/>
            <w:shd w:val="clear" w:color="auto" w:fill="E3E3E3"/>
          </w:tcPr>
          <w:p>
            <w:pPr>
              <w:spacing w:after="0"/>
              <w:rPr>
                <w:sz w:val="21"/>
                <w:szCs w:val="21"/>
                <w:color w:val="auto"/>
              </w:rPr>
            </w:pPr>
          </w:p>
        </w:tc>
        <w:tc>
          <w:tcPr>
            <w:tcW w:w="2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980" w:type="dxa"/>
            <w:vAlign w:val="bottom"/>
            <w:gridSpan w:val="3"/>
            <w:shd w:val="clear" w:color="auto" w:fill="E3E3E3"/>
          </w:tcPr>
          <w:p>
            <w:pPr>
              <w:ind w:left="80"/>
              <w:spacing w:after="0"/>
              <w:rPr>
                <w:sz w:val="20"/>
                <w:szCs w:val="20"/>
                <w:color w:val="auto"/>
              </w:rPr>
            </w:pPr>
            <w:r>
              <w:rPr>
                <w:rFonts w:ascii="Arial" w:cs="Arial" w:eastAsia="Arial" w:hAnsi="Arial"/>
                <w:sz w:val="16"/>
                <w:szCs w:val="16"/>
                <w:color w:val="auto"/>
              </w:rPr>
              <w:t>(70.5)%  $</w:t>
            </w:r>
          </w:p>
        </w:tc>
        <w:tc>
          <w:tcPr>
            <w:tcW w:w="7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(62.8)%</w:t>
            </w:r>
          </w:p>
        </w:tc>
      </w:tr>
    </w:tbl>
    <w:p>
      <w:pPr>
        <w:spacing w:after="0" w:line="188"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Interest expense decreased for the three and nine months ended April 30, 2024 compared to the same periods in 2023 primarily due to conversions of the 2023 Notes prior to or upon maturity in July 2023. Refer to Note 9. Debt in Part I, Item 1 of this Quarterly Report on Form 10-Q for more information on the Notes.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INCOME, NET</w:t>
      </w:r>
    </w:p>
    <w:p>
      <w:pPr>
        <w:spacing w:after="0" w:line="128" w:lineRule="exact"/>
        <w:rPr>
          <w:sz w:val="20"/>
          <w:szCs w:val="20"/>
          <w:color w:val="auto"/>
        </w:rPr>
      </w:pPr>
    </w:p>
    <w:p>
      <w:pPr>
        <w:ind w:right="960"/>
        <w:spacing w:after="0" w:line="304" w:lineRule="auto"/>
        <w:rPr>
          <w:sz w:val="20"/>
          <w:szCs w:val="20"/>
          <w:color w:val="auto"/>
        </w:rPr>
      </w:pPr>
      <w:r>
        <w:rPr>
          <w:rFonts w:ascii="Arial" w:cs="Arial" w:eastAsia="Arial" w:hAnsi="Arial"/>
          <w:sz w:val="16"/>
          <w:szCs w:val="16"/>
          <w:color w:val="auto"/>
        </w:rPr>
        <w:t>Other income, net includes interest income earned on our cash, cash equivalents, and investments, and gains and losses from foreign currency remeasurement and foreign currency transactions.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2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left="346"/>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9"/>
                <w:szCs w:val="19"/>
                <w:color w:val="auto"/>
              </w:rPr>
            </w:pPr>
          </w:p>
        </w:tc>
      </w:tr>
      <w:tr>
        <w:trPr>
          <w:trHeight w:val="223"/>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77"/>
        </w:trPr>
        <w:tc>
          <w:tcPr>
            <w:tcW w:w="2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43"/>
        </w:trPr>
        <w:tc>
          <w:tcPr>
            <w:tcW w:w="2960" w:type="dxa"/>
            <w:vAlign w:val="bottom"/>
            <w:shd w:val="clear" w:color="auto" w:fill="E3E3E3"/>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shd w:val="clear" w:color="auto" w:fill="E3E3E3"/>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E3E3E3"/>
          </w:tcPr>
          <w:p>
            <w:pPr>
              <w:spacing w:after="0"/>
              <w:rPr>
                <w:sz w:val="21"/>
                <w:szCs w:val="21"/>
                <w:color w:val="auto"/>
              </w:rPr>
            </w:pPr>
          </w:p>
        </w:tc>
        <w:tc>
          <w:tcPr>
            <w:tcW w:w="300" w:type="dxa"/>
            <w:vAlign w:val="bottom"/>
            <w:shd w:val="clear" w:color="auto" w:fill="E3E3E3"/>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E3E3E3"/>
          </w:tcPr>
          <w:p>
            <w:pPr>
              <w:spacing w:after="0"/>
              <w:rPr>
                <w:sz w:val="21"/>
                <w:szCs w:val="21"/>
                <w:color w:val="auto"/>
              </w:rPr>
            </w:pPr>
          </w:p>
        </w:tc>
        <w:tc>
          <w:tcPr>
            <w:tcW w:w="340" w:type="dxa"/>
            <w:vAlign w:val="bottom"/>
            <w:shd w:val="clear" w:color="auto" w:fill="E3E3E3"/>
          </w:tcPr>
          <w:p>
            <w:pPr>
              <w:spacing w:after="0"/>
              <w:rPr>
                <w:sz w:val="21"/>
                <w:szCs w:val="21"/>
                <w:color w:val="auto"/>
              </w:rPr>
            </w:pPr>
          </w:p>
        </w:tc>
        <w:tc>
          <w:tcPr>
            <w:tcW w:w="1000" w:type="dxa"/>
            <w:vAlign w:val="bottom"/>
            <w:gridSpan w:val="3"/>
            <w:shd w:val="clear" w:color="auto" w:fill="E3E3E3"/>
          </w:tcPr>
          <w:p>
            <w:pPr>
              <w:jc w:val="right"/>
              <w:ind w:right="100"/>
              <w:spacing w:after="0"/>
              <w:rPr>
                <w:sz w:val="20"/>
                <w:szCs w:val="20"/>
                <w:color w:val="auto"/>
              </w:rPr>
            </w:pPr>
            <w:r>
              <w:rPr>
                <w:rFonts w:ascii="Arial" w:cs="Arial" w:eastAsia="Arial" w:hAnsi="Arial"/>
                <w:sz w:val="16"/>
                <w:szCs w:val="16"/>
                <w:color w:val="auto"/>
              </w:rPr>
              <w:t>27.8 %  $</w:t>
            </w:r>
          </w:p>
        </w:tc>
        <w:tc>
          <w:tcPr>
            <w:tcW w:w="700" w:type="dxa"/>
            <w:vAlign w:val="bottom"/>
            <w:shd w:val="clear" w:color="auto" w:fill="E3E3E3"/>
          </w:tcPr>
          <w:p>
            <w:pPr>
              <w:jc w:val="right"/>
              <w:ind w:right="6"/>
              <w:spacing w:after="0"/>
              <w:rPr>
                <w:sz w:val="20"/>
                <w:szCs w:val="20"/>
                <w:color w:val="auto"/>
              </w:rPr>
            </w:pPr>
            <w:r>
              <w:rPr>
                <w:rFonts w:ascii="Arial" w:cs="Arial" w:eastAsia="Arial" w:hAnsi="Arial"/>
                <w:sz w:val="16"/>
                <w:szCs w:val="16"/>
                <w:color w:val="auto"/>
              </w:rPr>
              <w:t>231.8</w:t>
            </w:r>
          </w:p>
        </w:tc>
        <w:tc>
          <w:tcPr>
            <w:tcW w:w="100" w:type="dxa"/>
            <w:vAlign w:val="bottom"/>
            <w:shd w:val="clear" w:color="auto" w:fill="E3E3E3"/>
          </w:tcPr>
          <w:p>
            <w:pPr>
              <w:spacing w:after="0"/>
              <w:rPr>
                <w:sz w:val="21"/>
                <w:szCs w:val="21"/>
                <w:color w:val="auto"/>
              </w:rPr>
            </w:pPr>
          </w:p>
        </w:tc>
        <w:tc>
          <w:tcPr>
            <w:tcW w:w="300" w:type="dxa"/>
            <w:vAlign w:val="bottom"/>
            <w:shd w:val="clear" w:color="auto" w:fill="E3E3E3"/>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E3E3E3"/>
          </w:tcPr>
          <w:p>
            <w:pPr>
              <w:jc w:val="right"/>
              <w:ind w:right="5"/>
              <w:spacing w:after="0"/>
              <w:rPr>
                <w:sz w:val="20"/>
                <w:szCs w:val="20"/>
                <w:color w:val="auto"/>
              </w:rPr>
            </w:pPr>
            <w:r>
              <w:rPr>
                <w:rFonts w:ascii="Arial" w:cs="Arial" w:eastAsia="Arial" w:hAnsi="Arial"/>
                <w:sz w:val="16"/>
                <w:szCs w:val="16"/>
                <w:color w:val="auto"/>
              </w:rPr>
              <w:t>137.5</w:t>
            </w:r>
          </w:p>
        </w:tc>
        <w:tc>
          <w:tcPr>
            <w:tcW w:w="100" w:type="dxa"/>
            <w:vAlign w:val="bottom"/>
            <w:shd w:val="clear" w:color="auto" w:fill="E3E3E3"/>
          </w:tcPr>
          <w:p>
            <w:pPr>
              <w:spacing w:after="0"/>
              <w:rPr>
                <w:sz w:val="21"/>
                <w:szCs w:val="21"/>
                <w:color w:val="auto"/>
              </w:rPr>
            </w:pPr>
          </w:p>
        </w:tc>
        <w:tc>
          <w:tcPr>
            <w:tcW w:w="24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94.3</w:t>
            </w:r>
          </w:p>
        </w:tc>
        <w:tc>
          <w:tcPr>
            <w:tcW w:w="12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640" w:type="dxa"/>
            <w:vAlign w:val="bottom"/>
            <w:shd w:val="clear" w:color="auto" w:fill="E3E3E3"/>
          </w:tcPr>
          <w:p>
            <w:pPr>
              <w:jc w:val="right"/>
              <w:spacing w:after="0"/>
              <w:rPr>
                <w:sz w:val="20"/>
                <w:szCs w:val="20"/>
                <w:color w:val="auto"/>
              </w:rPr>
            </w:pPr>
            <w:r>
              <w:rPr>
                <w:rFonts w:ascii="Arial" w:cs="Arial" w:eastAsia="Arial" w:hAnsi="Arial"/>
                <w:sz w:val="16"/>
                <w:szCs w:val="16"/>
                <w:color w:val="auto"/>
              </w:rPr>
              <w:t>68.6 %</w:t>
            </w:r>
          </w:p>
        </w:tc>
      </w:tr>
    </w:tbl>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Other income, net increased for the three and nine months ended April 30, 2024 compared to the same periods in 2023 primarily due to higher interest income as a result of higher interest rates and higher average cash, cash equivalent, and investment balances for the three and nine months ended April 30, 2024 compared to the same periods in 2023.</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PROVISION FOR (BENEFIT FROM) INCOME TAXES</w:t>
      </w:r>
    </w:p>
    <w:p>
      <w:pPr>
        <w:spacing w:after="0" w:line="114"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Provision for (benefit from) income taxes consists primarily of U.S. taxes, foreign income taxes, and withholding taxes. Our provision for income taxes during fiscal 2024 was offset by tax benefits from the release of our valuation allowance on U.S. federal, U.S. states other than California, and United Kingdom deferred tax assets. A portion of our valuation allowance release is included in our estimated annual effective tax rate. Accordingly, we will continue to realize related tax benefits for the remainder of fiscal 2024, in amounts much less than that recorded during the three months ended January 31, 2024. We continue to maintain a valuation allowance for California and certain foreign deferred tax assets, including net operating loss carryforwards and certain domestic tax credits.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22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April 30,</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April 30,</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3"/>
        </w:trPr>
        <w:tc>
          <w:tcPr>
            <w:tcW w:w="2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9"/>
                <w:szCs w:val="19"/>
                <w:color w:val="auto"/>
              </w:rPr>
            </w:pPr>
          </w:p>
        </w:tc>
      </w:tr>
      <w:tr>
        <w:trPr>
          <w:trHeight w:val="223"/>
        </w:trPr>
        <w:tc>
          <w:tcPr>
            <w:tcW w:w="2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3"/>
        </w:trPr>
        <w:tc>
          <w:tcPr>
            <w:tcW w:w="2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202"/>
        </w:trPr>
        <w:tc>
          <w:tcPr>
            <w:tcW w:w="2640" w:type="dxa"/>
            <w:vAlign w:val="bottom"/>
            <w:shd w:val="clear" w:color="auto" w:fill="E3E3E3"/>
          </w:tcPr>
          <w:p>
            <w:pPr>
              <w:ind w:left="20"/>
              <w:spacing w:after="0"/>
              <w:rPr>
                <w:sz w:val="20"/>
                <w:szCs w:val="20"/>
                <w:color w:val="auto"/>
              </w:rPr>
            </w:pPr>
            <w:r>
              <w:rPr>
                <w:rFonts w:ascii="Arial" w:cs="Arial" w:eastAsia="Arial" w:hAnsi="Arial"/>
                <w:sz w:val="16"/>
                <w:szCs w:val="16"/>
                <w:color w:val="auto"/>
              </w:rPr>
              <w:t>Provision for (benefit from) income</w:t>
            </w:r>
          </w:p>
        </w:tc>
        <w:tc>
          <w:tcPr>
            <w:tcW w:w="260" w:type="dxa"/>
            <w:vAlign w:val="bottom"/>
            <w:shd w:val="clear" w:color="auto" w:fill="E3E3E3"/>
          </w:tcPr>
          <w:p>
            <w:pPr>
              <w:spacing w:after="0"/>
              <w:rPr>
                <w:sz w:val="17"/>
                <w:szCs w:val="17"/>
                <w:color w:val="auto"/>
              </w:rPr>
            </w:pPr>
          </w:p>
        </w:tc>
        <w:tc>
          <w:tcPr>
            <w:tcW w:w="80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260" w:type="dxa"/>
            <w:vAlign w:val="bottom"/>
            <w:shd w:val="clear" w:color="auto" w:fill="E3E3E3"/>
          </w:tcPr>
          <w:p>
            <w:pPr>
              <w:spacing w:after="0"/>
              <w:rPr>
                <w:sz w:val="17"/>
                <w:szCs w:val="17"/>
                <w:color w:val="auto"/>
              </w:rPr>
            </w:pPr>
          </w:p>
        </w:tc>
        <w:tc>
          <w:tcPr>
            <w:tcW w:w="7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200" w:type="dxa"/>
            <w:vAlign w:val="bottom"/>
            <w:shd w:val="clear" w:color="auto" w:fill="E3E3E3"/>
          </w:tcPr>
          <w:p>
            <w:pPr>
              <w:spacing w:after="0"/>
              <w:rPr>
                <w:sz w:val="17"/>
                <w:szCs w:val="17"/>
                <w:color w:val="auto"/>
              </w:rPr>
            </w:pPr>
          </w:p>
        </w:tc>
        <w:tc>
          <w:tcPr>
            <w:tcW w:w="66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320" w:type="dxa"/>
            <w:vAlign w:val="bottom"/>
            <w:shd w:val="clear" w:color="auto" w:fill="E3E3E3"/>
          </w:tcPr>
          <w:p>
            <w:pPr>
              <w:spacing w:after="0"/>
              <w:rPr>
                <w:sz w:val="17"/>
                <w:szCs w:val="17"/>
                <w:color w:val="auto"/>
              </w:rPr>
            </w:pPr>
          </w:p>
        </w:tc>
        <w:tc>
          <w:tcPr>
            <w:tcW w:w="7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60" w:type="dxa"/>
            <w:vAlign w:val="bottom"/>
            <w:shd w:val="clear" w:color="auto" w:fill="E3E3E3"/>
          </w:tcPr>
          <w:p>
            <w:pPr>
              <w:spacing w:after="0"/>
              <w:rPr>
                <w:sz w:val="17"/>
                <w:szCs w:val="17"/>
                <w:color w:val="auto"/>
              </w:rPr>
            </w:pPr>
          </w:p>
        </w:tc>
        <w:tc>
          <w:tcPr>
            <w:tcW w:w="1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280" w:type="dxa"/>
            <w:vAlign w:val="bottom"/>
            <w:shd w:val="clear" w:color="auto" w:fill="E3E3E3"/>
          </w:tcPr>
          <w:p>
            <w:pPr>
              <w:spacing w:after="0"/>
              <w:rPr>
                <w:sz w:val="17"/>
                <w:szCs w:val="17"/>
                <w:color w:val="auto"/>
              </w:rPr>
            </w:pPr>
          </w:p>
        </w:tc>
        <w:tc>
          <w:tcPr>
            <w:tcW w:w="72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220" w:type="dxa"/>
            <w:vAlign w:val="bottom"/>
            <w:shd w:val="clear" w:color="auto" w:fill="E3E3E3"/>
          </w:tcPr>
          <w:p>
            <w:pPr>
              <w:spacing w:after="0"/>
              <w:rPr>
                <w:sz w:val="17"/>
                <w:szCs w:val="17"/>
                <w:color w:val="auto"/>
              </w:rPr>
            </w:pPr>
          </w:p>
        </w:tc>
        <w:tc>
          <w:tcPr>
            <w:tcW w:w="78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600" w:type="dxa"/>
            <w:vAlign w:val="bottom"/>
            <w:shd w:val="clear" w:color="auto" w:fill="E3E3E3"/>
          </w:tcPr>
          <w:p>
            <w:pPr>
              <w:spacing w:after="0"/>
              <w:rPr>
                <w:sz w:val="17"/>
                <w:szCs w:val="17"/>
                <w:color w:val="auto"/>
              </w:rPr>
            </w:pPr>
          </w:p>
        </w:tc>
      </w:tr>
      <w:tr>
        <w:trPr>
          <w:trHeight w:val="244"/>
        </w:trPr>
        <w:tc>
          <w:tcPr>
            <w:tcW w:w="2640" w:type="dxa"/>
            <w:vAlign w:val="bottom"/>
            <w:shd w:val="clear" w:color="auto" w:fill="E3E3E3"/>
          </w:tcPr>
          <w:p>
            <w:pPr>
              <w:ind w:left="20"/>
              <w:spacing w:after="0"/>
              <w:rPr>
                <w:sz w:val="20"/>
                <w:szCs w:val="20"/>
                <w:color w:val="auto"/>
              </w:rPr>
            </w:pPr>
            <w:r>
              <w:rPr>
                <w:rFonts w:ascii="Arial" w:cs="Arial" w:eastAsia="Arial" w:hAnsi="Arial"/>
                <w:sz w:val="16"/>
                <w:szCs w:val="16"/>
                <w:color w:val="auto"/>
              </w:rPr>
              <w:t>taxes</w:t>
            </w:r>
          </w:p>
        </w:tc>
        <w:tc>
          <w:tcPr>
            <w:tcW w:w="260" w:type="dxa"/>
            <w:vAlign w:val="bottom"/>
            <w:shd w:val="clear" w:color="auto" w:fill="E3E3E3"/>
          </w:tcPr>
          <w:p>
            <w:pPr>
              <w:jc w:val="right"/>
              <w:ind w:right="84"/>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3E3E3"/>
          </w:tcPr>
          <w:p>
            <w:pPr>
              <w:jc w:val="right"/>
              <w:ind w:right="144"/>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E3E3E3"/>
          </w:tcPr>
          <w:p>
            <w:pPr>
              <w:spacing w:after="0"/>
              <w:rPr>
                <w:sz w:val="21"/>
                <w:szCs w:val="21"/>
                <w:color w:val="auto"/>
              </w:rPr>
            </w:pPr>
          </w:p>
        </w:tc>
        <w:tc>
          <w:tcPr>
            <w:tcW w:w="26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3E3E3"/>
          </w:tcPr>
          <w:p>
            <w:pPr>
              <w:jc w:val="right"/>
              <w:ind w:right="124"/>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E3E3E3"/>
          </w:tcPr>
          <w:p>
            <w:pPr>
              <w:spacing w:after="0"/>
              <w:rPr>
                <w:sz w:val="21"/>
                <w:szCs w:val="21"/>
                <w:color w:val="auto"/>
              </w:rPr>
            </w:pPr>
          </w:p>
        </w:tc>
        <w:tc>
          <w:tcPr>
            <w:tcW w:w="200" w:type="dxa"/>
            <w:vAlign w:val="bottom"/>
            <w:shd w:val="clear" w:color="auto" w:fill="E3E3E3"/>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3E3E3"/>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E3E3E3"/>
          </w:tcPr>
          <w:p>
            <w:pPr>
              <w:spacing w:after="0"/>
              <w:rPr>
                <w:sz w:val="21"/>
                <w:szCs w:val="21"/>
                <w:color w:val="auto"/>
              </w:rPr>
            </w:pPr>
          </w:p>
        </w:tc>
        <w:tc>
          <w:tcPr>
            <w:tcW w:w="320" w:type="dxa"/>
            <w:vAlign w:val="bottom"/>
            <w:shd w:val="clear" w:color="auto" w:fill="E3E3E3"/>
          </w:tcPr>
          <w:p>
            <w:pPr>
              <w:spacing w:after="0"/>
              <w:rPr>
                <w:sz w:val="21"/>
                <w:szCs w:val="21"/>
                <w:color w:val="auto"/>
              </w:rPr>
            </w:pPr>
          </w:p>
        </w:tc>
        <w:tc>
          <w:tcPr>
            <w:tcW w:w="1000" w:type="dxa"/>
            <w:vAlign w:val="bottom"/>
            <w:gridSpan w:val="3"/>
            <w:shd w:val="clear" w:color="auto" w:fill="E3E3E3"/>
          </w:tcPr>
          <w:p>
            <w:pPr>
              <w:jc w:val="right"/>
              <w:ind w:right="40"/>
              <w:spacing w:after="0"/>
              <w:rPr>
                <w:sz w:val="20"/>
                <w:szCs w:val="20"/>
                <w:color w:val="auto"/>
              </w:rPr>
            </w:pPr>
            <w:r>
              <w:rPr>
                <w:rFonts w:ascii="Arial" w:cs="Arial" w:eastAsia="Arial" w:hAnsi="Arial"/>
                <w:sz w:val="16"/>
                <w:szCs w:val="16"/>
                <w:color w:val="auto"/>
              </w:rPr>
              <w:t>(219.0 %)  $</w:t>
            </w:r>
          </w:p>
        </w:tc>
        <w:tc>
          <w:tcPr>
            <w:tcW w:w="1120" w:type="dxa"/>
            <w:vAlign w:val="bottom"/>
            <w:shd w:val="clear" w:color="auto" w:fill="E3E3E3"/>
          </w:tcPr>
          <w:p>
            <w:pPr>
              <w:jc w:val="right"/>
              <w:ind w:right="144"/>
              <w:spacing w:after="0"/>
              <w:rPr>
                <w:sz w:val="20"/>
                <w:szCs w:val="20"/>
                <w:color w:val="auto"/>
              </w:rPr>
            </w:pPr>
            <w:r>
              <w:rPr>
                <w:rFonts w:ascii="Arial" w:cs="Arial" w:eastAsia="Arial" w:hAnsi="Arial"/>
                <w:sz w:val="16"/>
                <w:szCs w:val="16"/>
                <w:color w:val="auto"/>
              </w:rPr>
              <w:t>(1,550.6)</w:t>
            </w:r>
          </w:p>
        </w:tc>
        <w:tc>
          <w:tcPr>
            <w:tcW w:w="100" w:type="dxa"/>
            <w:vAlign w:val="bottom"/>
            <w:shd w:val="clear" w:color="auto" w:fill="E3E3E3"/>
          </w:tcPr>
          <w:p>
            <w:pPr>
              <w:spacing w:after="0"/>
              <w:rPr>
                <w:sz w:val="21"/>
                <w:szCs w:val="21"/>
                <w:color w:val="auto"/>
              </w:rPr>
            </w:pPr>
          </w:p>
        </w:tc>
        <w:tc>
          <w:tcPr>
            <w:tcW w:w="280" w:type="dxa"/>
            <w:vAlign w:val="bottom"/>
            <w:shd w:val="clear" w:color="auto" w:fill="E3E3E3"/>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shd w:val="clear" w:color="auto" w:fill="E3E3E3"/>
          </w:tcPr>
          <w:p>
            <w:pPr>
              <w:jc w:val="right"/>
              <w:ind w:right="124"/>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E3E3E3"/>
          </w:tcPr>
          <w:p>
            <w:pPr>
              <w:spacing w:after="0"/>
              <w:rPr>
                <w:sz w:val="21"/>
                <w:szCs w:val="21"/>
                <w:color w:val="auto"/>
              </w:rPr>
            </w:pPr>
          </w:p>
        </w:tc>
        <w:tc>
          <w:tcPr>
            <w:tcW w:w="220" w:type="dxa"/>
            <w:vAlign w:val="bottom"/>
            <w:shd w:val="clear" w:color="auto" w:fill="E3E3E3"/>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(1,588.4)</w:t>
            </w:r>
          </w:p>
        </w:tc>
        <w:tc>
          <w:tcPr>
            <w:tcW w:w="120" w:type="dxa"/>
            <w:vAlign w:val="bottom"/>
            <w:shd w:val="clear" w:color="auto" w:fill="E3E3E3"/>
          </w:tcPr>
          <w:p>
            <w:pPr>
              <w:spacing w:after="0"/>
              <w:rPr>
                <w:sz w:val="21"/>
                <w:szCs w:val="21"/>
                <w:color w:val="auto"/>
              </w:rPr>
            </w:pPr>
          </w:p>
        </w:tc>
        <w:tc>
          <w:tcPr>
            <w:tcW w:w="600" w:type="dxa"/>
            <w:vAlign w:val="bottom"/>
            <w:shd w:val="clear" w:color="auto" w:fill="E3E3E3"/>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264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190"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113"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Our benefit from income taxes for the three months ended April 30, 2024 was primarily driven by excess tax benefits from share-based compensation and the release of our valuation allowance on U.S. federal, U.S. states other than California, and United Kingdom deferred tax assets. Our benefit from income taxes for the nine months ended April 30, 2024 was primarily driven by the release of our valuation allowance on U.S. federal, U.S. states other than California, and United Kingdom deferred tax assets. Refer to Note 13. Income Taxes in Part I, Item 1 of this Quarterly Report on Form 10-Q for more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Liquidity and Capital Resources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April 30, 2024</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July 31, 2023</w:t>
            </w:r>
          </w:p>
        </w:tc>
      </w:tr>
      <w:tr>
        <w:trPr>
          <w:trHeight w:val="263"/>
        </w:trPr>
        <w:tc>
          <w:tcPr>
            <w:tcW w:w="80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bottom w:val="single" w:sz="8" w:color="auto"/>
            </w:tcBorders>
          </w:tcPr>
          <w:p>
            <w:pPr>
              <w:spacing w:after="0"/>
              <w:rPr>
                <w:sz w:val="22"/>
                <w:szCs w:val="22"/>
                <w:color w:val="auto"/>
              </w:rPr>
            </w:pPr>
          </w:p>
        </w:tc>
      </w:tr>
      <w:tr>
        <w:trPr>
          <w:trHeight w:val="243"/>
        </w:trPr>
        <w:tc>
          <w:tcPr>
            <w:tcW w:w="8000" w:type="dxa"/>
            <w:vAlign w:val="bottom"/>
            <w:shd w:val="clear" w:color="auto" w:fill="E3E3E3"/>
          </w:tcPr>
          <w:p>
            <w:pPr>
              <w:ind w:left="2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36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3E3E3"/>
          </w:tcPr>
          <w:p>
            <w:pPr>
              <w:jc w:val="center"/>
              <w:ind w:left="442"/>
              <w:spacing w:after="0"/>
              <w:rPr>
                <w:sz w:val="20"/>
                <w:szCs w:val="20"/>
                <w:color w:val="auto"/>
              </w:rPr>
            </w:pPr>
            <w:r>
              <w:rPr>
                <w:rFonts w:ascii="Arial" w:cs="Arial" w:eastAsia="Arial" w:hAnsi="Arial"/>
                <w:sz w:val="16"/>
                <w:szCs w:val="16"/>
                <w:color w:val="auto"/>
                <w:w w:val="99"/>
              </w:rPr>
              <w:t>(1,166.0)</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3E3E3"/>
          </w:tcPr>
          <w:p>
            <w:pPr>
              <w:jc w:val="center"/>
              <w:ind w:left="281"/>
              <w:spacing w:after="0"/>
              <w:rPr>
                <w:sz w:val="20"/>
                <w:szCs w:val="20"/>
                <w:color w:val="auto"/>
              </w:rPr>
            </w:pPr>
            <w:r>
              <w:rPr>
                <w:rFonts w:ascii="Arial" w:cs="Arial" w:eastAsia="Arial" w:hAnsi="Arial"/>
                <w:sz w:val="16"/>
                <w:szCs w:val="16"/>
                <w:color w:val="auto"/>
              </w:rPr>
              <w:t>(1,689.5)</w:t>
            </w:r>
          </w:p>
        </w:tc>
      </w:tr>
      <w:tr>
        <w:trPr>
          <w:trHeight w:val="23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investments: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7"/>
        </w:trPr>
        <w:tc>
          <w:tcPr>
            <w:tcW w:w="8000" w:type="dxa"/>
            <w:vAlign w:val="bottom"/>
            <w:shd w:val="clear" w:color="auto" w:fill="E3E3E3"/>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3E3E3"/>
          </w:tcPr>
          <w:p>
            <w:pPr>
              <w:jc w:val="center"/>
              <w:ind w:left="462"/>
              <w:spacing w:after="0"/>
              <w:rPr>
                <w:sz w:val="20"/>
                <w:szCs w:val="20"/>
                <w:color w:val="auto"/>
              </w:rPr>
            </w:pPr>
            <w:r>
              <w:rPr>
                <w:rFonts w:ascii="Arial" w:cs="Arial" w:eastAsia="Arial" w:hAnsi="Arial"/>
                <w:sz w:val="16"/>
                <w:szCs w:val="16"/>
                <w:color w:val="auto"/>
              </w:rPr>
              <w:t>1,373.7</w:t>
            </w:r>
          </w:p>
        </w:tc>
        <w:tc>
          <w:tcPr>
            <w:tcW w:w="120" w:type="dxa"/>
            <w:vAlign w:val="bottom"/>
            <w:shd w:val="clear" w:color="auto" w:fill="E3E3E3"/>
          </w:tcPr>
          <w:p>
            <w:pPr>
              <w:spacing w:after="0"/>
              <w:rPr>
                <w:sz w:val="21"/>
                <w:szCs w:val="21"/>
                <w:color w:val="auto"/>
              </w:rPr>
            </w:pPr>
          </w:p>
        </w:tc>
        <w:tc>
          <w:tcPr>
            <w:tcW w:w="500" w:type="dxa"/>
            <w:vAlign w:val="bottom"/>
            <w:shd w:val="clear" w:color="auto" w:fill="E3E3E3"/>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3E3E3"/>
          </w:tcPr>
          <w:p>
            <w:pPr>
              <w:jc w:val="center"/>
              <w:ind w:left="281"/>
              <w:spacing w:after="0"/>
              <w:rPr>
                <w:sz w:val="20"/>
                <w:szCs w:val="20"/>
                <w:color w:val="auto"/>
              </w:rPr>
            </w:pPr>
            <w:r>
              <w:rPr>
                <w:rFonts w:ascii="Arial" w:cs="Arial" w:eastAsia="Arial" w:hAnsi="Arial"/>
                <w:sz w:val="16"/>
                <w:szCs w:val="16"/>
                <w:color w:val="auto"/>
              </w:rPr>
              <w:t>1,135.3</w:t>
            </w:r>
          </w:p>
        </w:tc>
      </w:tr>
      <w:tr>
        <w:trPr>
          <w:trHeight w:val="237"/>
        </w:trPr>
        <w:tc>
          <w:tcPr>
            <w:tcW w:w="8000" w:type="dxa"/>
            <w:vAlign w:val="bottom"/>
            <w:tcBorders>
              <w:bottom w:val="single" w:sz="8" w:color="E3E3E3"/>
            </w:tcBorders>
          </w:tcPr>
          <w:p>
            <w:pPr>
              <w:ind w:left="240"/>
              <w:spacing w:after="0"/>
              <w:rPr>
                <w:sz w:val="20"/>
                <w:szCs w:val="20"/>
                <w:color w:val="auto"/>
              </w:rPr>
            </w:pPr>
            <w:r>
              <w:rPr>
                <w:rFonts w:ascii="Arial" w:cs="Arial" w:eastAsia="Arial" w:hAnsi="Arial"/>
                <w:sz w:val="16"/>
                <w:szCs w:val="16"/>
                <w:color w:val="auto"/>
              </w:rPr>
              <w:t>Investments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left="462"/>
              <w:spacing w:after="0"/>
              <w:rPr>
                <w:sz w:val="20"/>
                <w:szCs w:val="20"/>
                <w:color w:val="auto"/>
              </w:rPr>
            </w:pPr>
            <w:r>
              <w:rPr>
                <w:rFonts w:ascii="Arial" w:cs="Arial" w:eastAsia="Arial" w:hAnsi="Arial"/>
                <w:sz w:val="16"/>
                <w:szCs w:val="16"/>
                <w:color w:val="auto"/>
              </w:rPr>
              <w:t>5,021.1</w:t>
            </w:r>
          </w:p>
        </w:tc>
        <w:tc>
          <w:tcPr>
            <w:tcW w:w="120" w:type="dxa"/>
            <w:vAlign w:val="bottom"/>
            <w:tcBorders>
              <w:bottom w:val="single" w:sz="8" w:color="E3E3E3"/>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rPr>
              <w:t>4,302.6</w:t>
            </w:r>
          </w:p>
        </w:tc>
      </w:tr>
      <w:tr>
        <w:trPr>
          <w:trHeight w:val="268"/>
        </w:trPr>
        <w:tc>
          <w:tcPr>
            <w:tcW w:w="8000" w:type="dxa"/>
            <w:vAlign w:val="bottom"/>
            <w:tcBorders>
              <w:bottom w:val="single" w:sz="8" w:color="E3E3E3"/>
            </w:tcBorders>
            <w:shd w:val="clear" w:color="auto" w:fill="E3E3E3"/>
          </w:tcPr>
          <w:p>
            <w:pPr>
              <w:ind w:left="460"/>
              <w:spacing w:after="0"/>
              <w:rPr>
                <w:sz w:val="20"/>
                <w:szCs w:val="20"/>
                <w:color w:val="auto"/>
              </w:rPr>
            </w:pPr>
            <w:r>
              <w:rPr>
                <w:rFonts w:ascii="Arial" w:cs="Arial" w:eastAsia="Arial" w:hAnsi="Arial"/>
                <w:sz w:val="16"/>
                <w:szCs w:val="16"/>
                <w:color w:val="auto"/>
              </w:rPr>
              <w:t>Total cash, cash equivalents, and investments</w:t>
            </w:r>
          </w:p>
        </w:tc>
        <w:tc>
          <w:tcPr>
            <w:tcW w:w="360" w:type="dxa"/>
            <w:vAlign w:val="bottom"/>
            <w:tcBorders>
              <w:bottom w:val="single" w:sz="8" w:color="auto"/>
            </w:tcBorders>
            <w:shd w:val="clear" w:color="auto" w:fill="E3E3E3"/>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3E3E3"/>
          </w:tcPr>
          <w:p>
            <w:pPr>
              <w:jc w:val="center"/>
              <w:ind w:left="462"/>
              <w:spacing w:after="0"/>
              <w:rPr>
                <w:sz w:val="20"/>
                <w:szCs w:val="20"/>
                <w:color w:val="auto"/>
              </w:rPr>
            </w:pPr>
            <w:r>
              <w:rPr>
                <w:rFonts w:ascii="Arial" w:cs="Arial" w:eastAsia="Arial" w:hAnsi="Arial"/>
                <w:sz w:val="16"/>
                <w:szCs w:val="16"/>
                <w:color w:val="auto"/>
              </w:rPr>
              <w:t>6,394.8</w:t>
            </w:r>
          </w:p>
        </w:tc>
        <w:tc>
          <w:tcPr>
            <w:tcW w:w="120" w:type="dxa"/>
            <w:vAlign w:val="bottom"/>
            <w:tcBorders>
              <w:bottom w:val="single" w:sz="8" w:color="E3E3E3"/>
            </w:tcBorders>
            <w:shd w:val="clear" w:color="auto" w:fill="E3E3E3"/>
          </w:tcPr>
          <w:p>
            <w:pPr>
              <w:spacing w:after="0"/>
              <w:rPr>
                <w:sz w:val="22"/>
                <w:szCs w:val="22"/>
                <w:color w:val="auto"/>
              </w:rPr>
            </w:pPr>
          </w:p>
        </w:tc>
        <w:tc>
          <w:tcPr>
            <w:tcW w:w="500" w:type="dxa"/>
            <w:vAlign w:val="bottom"/>
            <w:tcBorders>
              <w:bottom w:val="single" w:sz="8" w:color="auto"/>
            </w:tcBorders>
            <w:shd w:val="clear" w:color="auto" w:fill="E3E3E3"/>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E3E3E3"/>
          </w:tcPr>
          <w:p>
            <w:pPr>
              <w:jc w:val="center"/>
              <w:ind w:left="281"/>
              <w:spacing w:after="0"/>
              <w:rPr>
                <w:sz w:val="20"/>
                <w:szCs w:val="20"/>
                <w:color w:val="auto"/>
              </w:rPr>
            </w:pPr>
            <w:r>
              <w:rPr>
                <w:rFonts w:ascii="Arial" w:cs="Arial" w:eastAsia="Arial" w:hAnsi="Arial"/>
                <w:sz w:val="16"/>
                <w:szCs w:val="16"/>
                <w:color w:val="auto"/>
              </w:rPr>
              <w:t>5,437.9</w:t>
            </w:r>
          </w:p>
        </w:tc>
      </w:tr>
      <w:tr>
        <w:trPr>
          <w:trHeight w:val="20"/>
        </w:trPr>
        <w:tc>
          <w:tcPr>
            <w:tcW w:w="8000" w:type="dxa"/>
            <w:vAlign w:val="bottom"/>
            <w:tcBorders>
              <w:top w:val="single" w:sz="8" w:color="E3E3E3"/>
            </w:tcBorders>
          </w:tcPr>
          <w:p>
            <w:pPr>
              <w:spacing w:after="0" w:line="20" w:lineRule="exact"/>
              <w:rPr>
                <w:sz w:val="1"/>
                <w:szCs w:val="1"/>
                <w:color w:val="auto"/>
              </w:rPr>
            </w:pPr>
          </w:p>
        </w:tc>
        <w:tc>
          <w:tcPr>
            <w:tcW w:w="360" w:type="dxa"/>
            <w:vAlign w:val="bottom"/>
            <w:tcBorders>
              <w:top w:val="single" w:sz="8" w:color="E3E3E3"/>
              <w:bottom w:val="single" w:sz="8" w:color="auto"/>
            </w:tcBorders>
          </w:tcPr>
          <w:p>
            <w:pPr>
              <w:spacing w:after="0" w:line="20" w:lineRule="exact"/>
              <w:rPr>
                <w:sz w:val="1"/>
                <w:szCs w:val="1"/>
                <w:color w:val="auto"/>
              </w:rPr>
            </w:pPr>
          </w:p>
        </w:tc>
        <w:tc>
          <w:tcPr>
            <w:tcW w:w="1200" w:type="dxa"/>
            <w:vAlign w:val="bottom"/>
            <w:tcBorders>
              <w:top w:val="single" w:sz="8" w:color="E3E3E3"/>
              <w:bottom w:val="single" w:sz="8" w:color="auto"/>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500" w:type="dxa"/>
            <w:vAlign w:val="bottom"/>
            <w:tcBorders>
              <w:top w:val="single" w:sz="8" w:color="E3E3E3"/>
              <w:bottom w:val="single" w:sz="8" w:color="auto"/>
            </w:tcBorders>
          </w:tcPr>
          <w:p>
            <w:pPr>
              <w:spacing w:after="0" w:line="20" w:lineRule="exact"/>
              <w:rPr>
                <w:sz w:val="1"/>
                <w:szCs w:val="1"/>
                <w:color w:val="auto"/>
              </w:rPr>
            </w:pPr>
          </w:p>
        </w:tc>
        <w:tc>
          <w:tcPr>
            <w:tcW w:w="1060" w:type="dxa"/>
            <w:vAlign w:val="bottom"/>
            <w:tcBorders>
              <w:top w:val="single" w:sz="8" w:color="E3E3E3"/>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00" w:hanging="192"/>
        <w:spacing w:after="0" w:line="305" w:lineRule="auto"/>
        <w:tabs>
          <w:tab w:leader="none" w:pos="214" w:val="left"/>
        </w:tabs>
        <w:numPr>
          <w:ilvl w:val="0"/>
          <w:numId w:val="19"/>
        </w:numPr>
        <w:rPr>
          <w:rFonts w:ascii="Arial" w:cs="Arial" w:eastAsia="Arial" w:hAnsi="Arial"/>
          <w:sz w:val="9"/>
          <w:szCs w:val="9"/>
          <w:color w:val="auto"/>
        </w:rPr>
      </w:pPr>
      <w:r>
        <w:rPr>
          <w:rFonts w:ascii="Arial" w:cs="Arial" w:eastAsia="Arial" w:hAnsi="Arial"/>
          <w:sz w:val="14"/>
          <w:szCs w:val="14"/>
          <w:color w:val="auto"/>
        </w:rPr>
        <w:t>Current liabilities included net carrying amounts of convertible senior notes of $1.2 billion and $2.0 billion as of April 30, 2024 and July 31, 2023, respectively. Refer to Note 9</w:t>
      </w:r>
      <w:r>
        <w:rPr>
          <w:rFonts w:ascii="Arial" w:cs="Arial" w:eastAsia="Arial" w:hAnsi="Arial"/>
          <w:sz w:val="14"/>
          <w:szCs w:val="14"/>
          <w:b w:val="1"/>
          <w:bCs w:val="1"/>
          <w:color w:val="auto"/>
        </w:rPr>
        <w:t>.</w:t>
      </w:r>
      <w:r>
        <w:rPr>
          <w:rFonts w:ascii="Arial" w:cs="Arial" w:eastAsia="Arial" w:hAnsi="Arial"/>
          <w:sz w:val="14"/>
          <w:szCs w:val="14"/>
          <w:color w:val="auto"/>
        </w:rPr>
        <w:t xml:space="preserve"> Debt in Part I, Item 1 of this Quarterly Report on Form 10-Q for information on the Notes.</w:t>
      </w:r>
    </w:p>
    <w:p>
      <w:pPr>
        <w:spacing w:after="0" w:line="4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of April 30, 2024, our total cash, cash equivalents, and investments of $6.4 billion were held for general corporate purposes. As of April 30, 2024, we had no unremitted earnings when evaluating our outside basis difference relating to our U.S. investment in foreign subsidiaries. However, there could be local withholding taxes due to various foreign countries if certain lower tier earnings are distributed. Withholding taxes that would be payable upon remittance of these lower tier earnings are not expected to be material.</w:t>
      </w:r>
    </w:p>
    <w:p>
      <w:pPr>
        <w:spacing w:after="0" w:line="7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Beginning in fiscal 2023, we were required to capitalize and amortize research and development expenses as required by the Tax Cuts and Jobs Act. As a result of this change, we have paid significantly more U.S. cash taxes during the nine months ended April 30, 2024 and we expect our cash tax payments to increase in future periods.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DEBT</w:t>
      </w:r>
    </w:p>
    <w:p>
      <w:pPr>
        <w:spacing w:after="0" w:line="12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June 2020, we issued the 2025 Notes with an aggregate principal amount of $2.0 billion. The 2025 Notes mature on June 1, 2025; however, under certain circumstances, holders may surrender their 2025 Notes for conversion prior to the maturity date. Upon conversion of the 2025 Notes, we will pay cash equal to the aggregate principal amount of the 2025 Notes to be converted, and, at our election, we will pay or deliver cash and/or shares of our common stock for the amount of our conversion obligation in excess of the aggregate principal amount of the 2025 Notes being converted. During the three and nine months ended April 30, 2024, holders of the 2025 Notes converted $661.8 million and $834.1 million, respectively, in aggregate principal amount of the 2025 Notes, which we repaid in cash. We also issued 4.6 million and 5.7 million shares of our common stock to the holders of the 2025 Notes during the three and nine months ended April 30, 2024, respectively, for the conversion value in excess of the principal amount of the 2025 Notes converted, which were fully offset by shares we received from the corresponding exercise of the note hedges. Subsequent to April 30, 2024, through the filing date of this Quarterly Report on Form 10-Q, $123.2 million in aggregate principal amount of the 2025 Notes was converted or had been submitted by the holders for conversion and will settle during the fiscal quarter ending July 31, 2024.</w:t>
      </w:r>
    </w:p>
    <w:p>
      <w:pPr>
        <w:spacing w:after="0" w:line="7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sale price condition for the 2025 Notes was met during the fiscal quarter ended April 30, 2024, and as a result, holders may convert their 2025 Notes during the fiscal quarter ending July 31, 2024. If all of the holders convert their 2025 Notes during this period, we would be obligated to settle the $1.2 billion principal amount of the 2025 Notes in cash. We believe that our cash provided by operating activities, our existing cash, cash equivalents, and investments, and existing sources of and access to financing will be sufficient to meet our anticipated cash needs should the holders choose to convert their 2025 Notes during the fiscal quarter ending July 31, 2024 or hold the 2025 Notes until maturity on June 1, 2025. As of April 30, 2024, $1.2 billion of our 2025 Notes remained outstanding. Refer to Note 9. Debt in Part I, Item 1 of this Quarterly Report on Form 10-Q for more information on the Notes.</w:t>
      </w:r>
    </w:p>
    <w:p>
      <w:pPr>
        <w:spacing w:after="0" w:line="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April 2023, we entered into a credit agreement (the “Credit Agreement”) that provides for a $400.0 million unsecured revolving credit facility (the “Credit Facility”), with an option to increase the amount of the Credit Facility by up to an additional $350.0 million, subject to certain conditions. The interest rates and commitment fees are also subject to upward and downward adjustments based on our progress towards the achievement of certain sustainability goals related to greenhouse gas emissions. As of April 30, 2024, there were no amounts outstanding, and we were in compliance with all covenants under the Credit Agreement. Refer to Note 9. Debt in Part I, Item 1 of this Quarterly Report on Form 10-Q for more information on the Credit Agreement.</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CAPITAL RETURN</w:t>
      </w:r>
    </w:p>
    <w:p>
      <w:pPr>
        <w:spacing w:after="0" w:line="12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February 2019, our board of directors authorized a $1.0 billion share repurchase program. In December 2020, August 2021, August 2022, and November 2023, our board of directors authorized additional $700.0 million, $676.1 million, $915.0 million, and $316.7 million increases to this share repurchase program, respectively, bringing the total authorization under this share repurchase program to $3.6 billion. Repurchases will be funded from available working capital and may be made at management’s discretion from time to time. As of April 30, 2024, $500.0 million remained available for future share repurchases under this repurchase program. The repurchase authorization will expire on December 31, 2024, and may be suspended or discontinued at any time without prior notice. Refer to Note 11. Stockholders’ Equity in Part I, Item 1 of this Quarterly Report on Form 10-Q for more information on this repurchase program.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LEASES AND OTHER MATERIAL CASH REQUIREMENTS</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have entered into various non-cancelable operating leases, primarily for our facilities, with original lease periods expiring through the fiscal year ending July 31, 2036, with the most significant leases relating to our corporate headquarters in Santa Clara, California. As of April 30, 2024, we have total operating lease obligations of $432.3 million recorded on our condensed consolidated balance sheet.</w:t>
      </w:r>
    </w:p>
    <w:p>
      <w:pPr>
        <w:spacing w:after="0" w:line="5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As of April 30, 2024, our commitments to purchase products, components, cloud and other services totaled $4.7 billion. Refer to Note 10. Commitments and Contingencies in Part I, Item 1 of this Quarterly Report on Form 10-Q for more information on these commitments.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FLOWS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nine months ended April 30,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Nine Months Ended April 30,</w:t>
            </w:r>
          </w:p>
        </w:tc>
      </w:tr>
      <w:tr>
        <w:trPr>
          <w:trHeight w:val="223"/>
        </w:trPr>
        <w:tc>
          <w:tcPr>
            <w:tcW w:w="8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63"/>
        </w:trPr>
        <w:tc>
          <w:tcPr>
            <w:tcW w:w="80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spacing w:after="0"/>
              <w:rPr>
                <w:sz w:val="22"/>
                <w:szCs w:val="22"/>
                <w:color w:val="auto"/>
              </w:rPr>
            </w:pPr>
          </w:p>
        </w:tc>
      </w:tr>
      <w:tr>
        <w:trPr>
          <w:trHeight w:val="243"/>
        </w:trPr>
        <w:tc>
          <w:tcPr>
            <w:tcW w:w="802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E3E3E3"/>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3E3E3"/>
          </w:tcPr>
          <w:p>
            <w:pPr>
              <w:jc w:val="right"/>
              <w:ind w:right="3"/>
              <w:spacing w:after="0"/>
              <w:rPr>
                <w:sz w:val="20"/>
                <w:szCs w:val="20"/>
                <w:color w:val="auto"/>
              </w:rPr>
            </w:pPr>
            <w:r>
              <w:rPr>
                <w:rFonts w:ascii="Arial" w:cs="Arial" w:eastAsia="Arial" w:hAnsi="Arial"/>
                <w:sz w:val="16"/>
                <w:szCs w:val="16"/>
                <w:color w:val="auto"/>
              </w:rPr>
              <w:t>2,744.9</w:t>
            </w:r>
          </w:p>
        </w:tc>
        <w:tc>
          <w:tcPr>
            <w:tcW w:w="100" w:type="dxa"/>
            <w:vAlign w:val="bottom"/>
            <w:shd w:val="clear" w:color="auto" w:fill="E3E3E3"/>
          </w:tcPr>
          <w:p>
            <w:pPr>
              <w:spacing w:after="0"/>
              <w:rPr>
                <w:sz w:val="21"/>
                <w:szCs w:val="21"/>
                <w:color w:val="auto"/>
              </w:rPr>
            </w:pPr>
          </w:p>
        </w:tc>
        <w:tc>
          <w:tcPr>
            <w:tcW w:w="620" w:type="dxa"/>
            <w:vAlign w:val="bottom"/>
            <w:shd w:val="clear" w:color="auto" w:fill="E3E3E3"/>
          </w:tcPr>
          <w:p>
            <w:pPr>
              <w:jc w:val="right"/>
              <w:ind w:right="419"/>
              <w:spacing w:after="0"/>
              <w:rPr>
                <w:sz w:val="20"/>
                <w:szCs w:val="20"/>
                <w:color w:val="auto"/>
              </w:rPr>
            </w:pPr>
            <w:r>
              <w:rPr>
                <w:rFonts w:ascii="Arial" w:cs="Arial" w:eastAsia="Arial" w:hAnsi="Arial"/>
                <w:sz w:val="16"/>
                <w:szCs w:val="16"/>
                <w:color w:val="auto"/>
              </w:rPr>
              <w:t>$</w:t>
            </w:r>
          </w:p>
        </w:tc>
        <w:tc>
          <w:tcPr>
            <w:tcW w:w="940" w:type="dxa"/>
            <w:vAlign w:val="bottom"/>
            <w:shd w:val="clear" w:color="auto" w:fill="E3E3E3"/>
          </w:tcPr>
          <w:p>
            <w:pPr>
              <w:jc w:val="right"/>
              <w:ind w:right="1"/>
              <w:spacing w:after="0"/>
              <w:rPr>
                <w:sz w:val="20"/>
                <w:szCs w:val="20"/>
                <w:color w:val="auto"/>
              </w:rPr>
            </w:pPr>
            <w:r>
              <w:rPr>
                <w:rFonts w:ascii="Arial" w:cs="Arial" w:eastAsia="Arial" w:hAnsi="Arial"/>
                <w:sz w:val="16"/>
                <w:szCs w:val="16"/>
                <w:color w:val="auto"/>
              </w:rPr>
              <w:t>2,363.4</w:t>
            </w:r>
          </w:p>
        </w:tc>
      </w:tr>
      <w:tr>
        <w:trPr>
          <w:trHeight w:val="235"/>
        </w:trPr>
        <w:tc>
          <w:tcPr>
            <w:tcW w:w="80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(1,341.4)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(2,396.4)</w:t>
            </w:r>
          </w:p>
        </w:tc>
      </w:tr>
      <w:tr>
        <w:trPr>
          <w:trHeight w:val="244"/>
        </w:trPr>
        <w:tc>
          <w:tcPr>
            <w:tcW w:w="8020" w:type="dxa"/>
            <w:vAlign w:val="bottom"/>
            <w:shd w:val="clear" w:color="auto" w:fill="E3E3E3"/>
          </w:tcPr>
          <w:p>
            <w:pPr>
              <w:ind w:left="2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bottom w:val="single" w:sz="8" w:color="auto"/>
            </w:tcBorders>
            <w:shd w:val="clear" w:color="auto" w:fill="E3E3E3"/>
          </w:tcPr>
          <w:p>
            <w:pPr>
              <w:spacing w:after="0"/>
              <w:rPr>
                <w:sz w:val="21"/>
                <w:szCs w:val="21"/>
                <w:color w:val="auto"/>
              </w:rPr>
            </w:pPr>
          </w:p>
        </w:tc>
        <w:tc>
          <w:tcPr>
            <w:tcW w:w="11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(1,163.8)</w:t>
            </w:r>
          </w:p>
        </w:tc>
        <w:tc>
          <w:tcPr>
            <w:tcW w:w="100" w:type="dxa"/>
            <w:vAlign w:val="bottom"/>
            <w:shd w:val="clear" w:color="auto" w:fill="E3E3E3"/>
          </w:tcPr>
          <w:p>
            <w:pPr>
              <w:spacing w:after="0"/>
              <w:rPr>
                <w:sz w:val="21"/>
                <w:szCs w:val="21"/>
                <w:color w:val="auto"/>
              </w:rPr>
            </w:pPr>
          </w:p>
        </w:tc>
        <w:tc>
          <w:tcPr>
            <w:tcW w:w="620" w:type="dxa"/>
            <w:vAlign w:val="bottom"/>
            <w:tcBorders>
              <w:bottom w:val="single" w:sz="8" w:color="auto"/>
            </w:tcBorders>
            <w:shd w:val="clear" w:color="auto" w:fill="E3E3E3"/>
          </w:tcPr>
          <w:p>
            <w:pPr>
              <w:spacing w:after="0"/>
              <w:rPr>
                <w:sz w:val="21"/>
                <w:szCs w:val="21"/>
                <w:color w:val="auto"/>
              </w:rPr>
            </w:pPr>
          </w:p>
        </w:tc>
        <w:tc>
          <w:tcPr>
            <w:tcW w:w="94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(91.5)</w:t>
            </w:r>
          </w:p>
        </w:tc>
      </w:tr>
      <w:tr>
        <w:trPr>
          <w:trHeight w:val="243"/>
        </w:trPr>
        <w:tc>
          <w:tcPr>
            <w:tcW w:w="802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239.7</w:t>
            </w:r>
          </w:p>
        </w:tc>
        <w:tc>
          <w:tcPr>
            <w:tcW w:w="100" w:type="dxa"/>
            <w:vAlign w:val="bottom"/>
          </w:tcPr>
          <w:p>
            <w:pPr>
              <w:spacing w:after="0"/>
              <w:rPr>
                <w:sz w:val="21"/>
                <w:szCs w:val="21"/>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Cash from operations could be affected by various risks and uncertainties detailed in Part II, Item 1A “Risk Factors” in this Quarterly Report on Form 10-Q. We believe that our cash flow from operations with existing cash and cash equivalents will be sufficient to meet our anticipated cash needs for at least the next 12 months and thereafter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infrastructure to support the adoption of our cloud-based subscription offerings, the repayment obligations associated with our 2025 Notes, the continuing market acceptance of our products and subscription and support offerings and macroeconomic events. In addition, from time to time, we may incur additional tax liability in connection with certain corporate structuring decisions.</w:t>
      </w:r>
    </w:p>
    <w:p>
      <w:pPr>
        <w:spacing w:after="0" w:line="7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OPERATING ACTIVITIES</w:t>
      </w:r>
    </w:p>
    <w:p>
      <w:pPr>
        <w:spacing w:after="0" w:line="128"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Our operating activities have consisted of net income adjusted for certain non-cash items and changes in assets and liabilities. Our largest source of cash provided by our operations is receipts from our billings.</w:t>
      </w:r>
    </w:p>
    <w:p>
      <w:pPr>
        <w:spacing w:after="0" w:line="33" w:lineRule="exact"/>
        <w:rPr>
          <w:sz w:val="20"/>
          <w:szCs w:val="20"/>
          <w:color w:val="auto"/>
        </w:rPr>
      </w:pPr>
    </w:p>
    <w:p>
      <w:pPr>
        <w:jc w:val="both"/>
        <w:ind w:right="380"/>
        <w:spacing w:after="0" w:line="275" w:lineRule="auto"/>
        <w:rPr>
          <w:sz w:val="20"/>
          <w:szCs w:val="20"/>
          <w:color w:val="auto"/>
        </w:rPr>
      </w:pPr>
      <w:r>
        <w:rPr>
          <w:rFonts w:ascii="Arial" w:cs="Arial" w:eastAsia="Arial" w:hAnsi="Arial"/>
          <w:sz w:val="16"/>
          <w:szCs w:val="16"/>
          <w:color w:val="auto"/>
        </w:rPr>
        <w:t>Cash provided by operating activities during the nine months ended April 30, 2024 was $2.7 billion, an increase of $381.5 million compared to the same period in 2023. The increase was primarily due to growth of our business as reflected by increases in collections during the nine months ended April 30, 2024, partially offset by higher cash expenditure to support our business growth.</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INVESTING ACTIVITIES</w:t>
      </w:r>
    </w:p>
    <w:p>
      <w:pPr>
        <w:spacing w:after="0" w:line="128"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Our investing activities have consisted of capital expenditures, net investment purchases, sales, and maturities, and business acquisitions. We expect to continue such activities as our business grows.</w:t>
      </w:r>
    </w:p>
    <w:p>
      <w:pPr>
        <w:spacing w:after="0" w:line="33"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Cash used in investing activities during the nine months ended April 30, 2024 was $1.3 billion, a decrease of $1.1 billion compared to the same period in 2023. The decrease was primarily due to a decrease in purchases of investments, partially offset by an increase in net cash payments for business acquisitions and a decrease in proceeds from sales and maturities of investments during the nine months ended April 30, 2024.</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FINANCING ACTIVITIES</w:t>
      </w:r>
    </w:p>
    <w:p>
      <w:pPr>
        <w:spacing w:after="0" w:line="12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Our financing activities have consisted of repayments of our convertible senior notes, cash used to repurchase shares of our common stock, proceeds from sales of shares through employee equity incentive plans, and payments for tax withholding obligations of certain employees related to the net share settlement of equity awards.</w:t>
      </w:r>
    </w:p>
    <w:p>
      <w:pPr>
        <w:spacing w:after="0" w:line="7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Cash used in financing activities during the nine months ended April 30, 2024 was $1.2 billion, an increase of $1.1 billion compared to the same period in 2023. The increase was primarily due to early repayments of our 2025 Notes and an increase in cash used to repurchase our common stock during the nine months ended April 30,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Critical Accounting Estimates</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condensed consolidated financial statements have been prepared in accordance with U.S. GAAP. The preparation of these condensed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uncertainties, including uncertainty in the current economic environment. To the extent that there are material differences between these estimates and our actual results, our future consolidated financial statements will be affected.</w:t>
      </w:r>
    </w:p>
    <w:p>
      <w:pPr>
        <w:spacing w:after="0" w:line="6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believe the critical accounting estimates discussed under Item 7, “Management’s Discussion and Analysis of Financial Condition and Results of Operations” in our Annual Report on Form 10-K for the fiscal year ended July 31, 2023 reflect our more significant estimates, assumptions, and judgments that have the most significant impact on our condensed consolidated financial statements. There have been no significant changes to our critical accounting estimates as filed in such report.</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Recent Accounting Pronouncements</w:t>
      </w:r>
    </w:p>
    <w:p>
      <w:pPr>
        <w:spacing w:after="0" w:line="14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Refer to “Recently Issued Accounting Pronouncements” in Note 1. Description of Business and Summary of Significant Accounting Policies in Part I, Item 1 of this Quarterly Report on Form 10-Q for a description of recent accounting pronouncements and our expectation of their impact, if any, on our results of operations and financial condition.</w:t>
      </w:r>
    </w:p>
    <w:p>
      <w:pPr>
        <w:spacing w:after="0" w:line="302" w:lineRule="exact"/>
        <w:rPr>
          <w:sz w:val="20"/>
          <w:szCs w:val="20"/>
          <w:color w:val="auto"/>
        </w:rPr>
      </w:pPr>
    </w:p>
    <w:p>
      <w:pPr>
        <w:ind w:right="640"/>
        <w:spacing w:after="0" w:line="284" w:lineRule="auto"/>
        <w:rPr>
          <w:sz w:val="20"/>
          <w:szCs w:val="20"/>
          <w:color w:val="auto"/>
        </w:rPr>
      </w:pPr>
      <w:r>
        <w:rPr>
          <w:rFonts w:ascii="Arial" w:cs="Arial" w:eastAsia="Arial" w:hAnsi="Arial"/>
          <w:sz w:val="36"/>
          <w:szCs w:val="36"/>
          <w:b w:val="1"/>
          <w:bCs w:val="1"/>
          <w:color w:val="auto"/>
        </w:rPr>
        <w:t>Item 3. Quantitative and Qualitative Disclosures About Market Risk</w:t>
      </w:r>
    </w:p>
    <w:p>
      <w:pPr>
        <w:spacing w:after="0" w:line="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Except for the item below, our assessment of our exposures to market risk has not changed materially from the disclosure set forth in Part II, Item 7A of our Annual Report on Form 10-K for the fiscal year ended July 31, 2023.</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Interest Rate Risk</w:t>
      </w:r>
    </w:p>
    <w:p>
      <w:pPr>
        <w:spacing w:after="0" w:line="13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primary objectives of our investment activities are to preserve principal, provide liquidity, and maximize income without significantly increasing risk. Most of the securities we invest in are subject to interest rate risk. To minimize this risk, we maintain a diversified portfolio of cash, cash equivalents, and investments, consisting only of investment-grade securities. To assess the interest rate risk, we performed a sensitivity analysis to determine the impact a change in interest rates would have on the value of the investment portfolio. Based on investment positions as of April 30, 2024, a hypothetical 100 basis point increase in interest rates across all maturities would result in a $73.8 million decline in the fair market value of the portfolio. Such losses would only be realized if we sold the investments prior to maturity. Conversely, a hypothetical 100 basis point decrease in interest rates would lead to a $73.8 million increase in the fair market value of the portfolio.</w:t>
      </w:r>
    </w:p>
    <w:p>
      <w:pPr>
        <w:spacing w:after="0" w:line="31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Evaluation of Disclosure Controls and Procedures</w:t>
      </w:r>
    </w:p>
    <w:p>
      <w:pPr>
        <w:spacing w:after="0" w:line="14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report. Based on our evaluation, our chief executive officer and chief financial officer concluded that, as of April 30, 2024,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Changes in Internal Control over Financial Reporting</w:t>
      </w:r>
    </w:p>
    <w:p>
      <w:pPr>
        <w:spacing w:after="0" w:line="146"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 13a-15(d) and 15d-15(d) of the Exchange Act that occurred during the fiscal quarter ended April 30, 2024 that have materially affected, or are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Limitations on Controls</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54864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64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Part II</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set forth under the “Litigation” subheading in Note 10. Commitments and Contingencies in Part I, Item 1 of this Quarterly Report on Form 10-Q is incorporated herein by reference.</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13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 In addition, the impacts of any worsening of the economic environment may exacerbate the risks described below, any of which could have a material impact on us.</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Risk Factor Summary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subject to numerous risks and uncertainties. These risks include, but are not limited to, the following:</w:t>
      </w:r>
    </w:p>
    <w:p>
      <w:pPr>
        <w:spacing w:after="0" w:line="12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Our operating results may be adversely affected by unfavorable economic and market conditions and the uncertain geopolitical environment.</w:t>
      </w:r>
    </w:p>
    <w:p>
      <w:pPr>
        <w:spacing w:after="0" w:line="72" w:lineRule="exact"/>
        <w:rPr>
          <w:rFonts w:ascii="Arial" w:cs="Arial" w:eastAsia="Arial" w:hAnsi="Arial"/>
          <w:sz w:val="16"/>
          <w:szCs w:val="16"/>
          <w:b w:val="1"/>
          <w:bCs w:val="1"/>
          <w:color w:val="E64B38"/>
        </w:rPr>
      </w:pPr>
    </w:p>
    <w:p>
      <w:pPr>
        <w:ind w:left="200" w:right="140" w:hanging="192"/>
        <w:spacing w:after="0" w:line="299" w:lineRule="auto"/>
        <w:tabs>
          <w:tab w:leader="none" w:pos="184"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Our business and operations have experienced growth in recent periods, and if we do not effectively manage any future growth or are unable to improve our systems, processes, and controls, our operating results could be adversely affected.</w:t>
      </w:r>
    </w:p>
    <w:p>
      <w:pPr>
        <w:ind w:left="200" w:right="200" w:hanging="192"/>
        <w:spacing w:after="0" w:line="304" w:lineRule="auto"/>
        <w:tabs>
          <w:tab w:leader="none" w:pos="184"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Our revenue growth rate in recent periods may not be indicative of our future performance, and we may not be able to maintain profitability, which could cause our business, financial condition, and operating results to suffer.</w:t>
      </w:r>
    </w:p>
    <w:p>
      <w:pPr>
        <w:spacing w:after="0" w:line="6" w:lineRule="exact"/>
        <w:rPr>
          <w:rFonts w:ascii="Arial" w:cs="Arial" w:eastAsia="Arial" w:hAnsi="Arial"/>
          <w:sz w:val="16"/>
          <w:szCs w:val="16"/>
          <w:b w:val="1"/>
          <w:bCs w:val="1"/>
          <w:color w:val="E64B38"/>
        </w:rPr>
      </w:pPr>
    </w:p>
    <w:p>
      <w:pPr>
        <w:ind w:left="200" w:right="260" w:hanging="192"/>
        <w:spacing w:after="0" w:line="286" w:lineRule="auto"/>
        <w:tabs>
          <w:tab w:leader="none" w:pos="184"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Our operating results may vary significantly from period to period, which makes our results difficult to predict and could cause our results to fall short of expectations, and such results may not be indicative of future performance.</w:t>
      </w:r>
    </w:p>
    <w:p>
      <w:pPr>
        <w:spacing w:after="0" w:line="20"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Seasonality may cause fluctuations in our revenue.</w:t>
      </w:r>
    </w:p>
    <w:p>
      <w:pPr>
        <w:spacing w:after="0" w:line="72" w:lineRule="exact"/>
        <w:rPr>
          <w:rFonts w:ascii="Arial" w:cs="Arial" w:eastAsia="Arial" w:hAnsi="Arial"/>
          <w:sz w:val="16"/>
          <w:szCs w:val="16"/>
          <w:b w:val="1"/>
          <w:bCs w:val="1"/>
          <w:color w:val="E64B38"/>
        </w:rPr>
      </w:pPr>
    </w:p>
    <w:p>
      <w:pPr>
        <w:ind w:left="200" w:right="20" w:hanging="192"/>
        <w:spacing w:after="0" w:line="299" w:lineRule="auto"/>
        <w:tabs>
          <w:tab w:leader="none" w:pos="184"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If we are unable to sell new and additional product, subscription, and support offerings to our end-customers, especially to large enterprise customers, our future revenue and operating results will be harmed.</w:t>
      </w:r>
    </w:p>
    <w:p>
      <w:pPr>
        <w:ind w:left="200" w:hanging="192"/>
        <w:spacing w:after="0"/>
        <w:tabs>
          <w:tab w:leader="none" w:pos="200"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If we are unable to attract new customers, our future results of operations could be harmed.</w:t>
      </w:r>
    </w:p>
    <w:p>
      <w:pPr>
        <w:spacing w:after="0" w:line="86" w:lineRule="exact"/>
        <w:rPr>
          <w:rFonts w:ascii="Arial" w:cs="Arial" w:eastAsia="Arial" w:hAnsi="Arial"/>
          <w:sz w:val="16"/>
          <w:szCs w:val="16"/>
          <w:b w:val="1"/>
          <w:bCs w:val="1"/>
          <w:color w:val="E64B38"/>
        </w:rPr>
      </w:pPr>
    </w:p>
    <w:p>
      <w:pPr>
        <w:ind w:left="200" w:right="200" w:hanging="192"/>
        <w:spacing w:after="0" w:line="275" w:lineRule="auto"/>
        <w:tabs>
          <w:tab w:leader="none" w:pos="184"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spacing w:after="0" w:line="29" w:lineRule="exact"/>
        <w:rPr>
          <w:rFonts w:ascii="Arial" w:cs="Arial" w:eastAsia="Arial" w:hAnsi="Arial"/>
          <w:sz w:val="16"/>
          <w:szCs w:val="16"/>
          <w:b w:val="1"/>
          <w:bCs w:val="1"/>
          <w:color w:val="E64B38"/>
        </w:rPr>
      </w:pPr>
    </w:p>
    <w:p>
      <w:pPr>
        <w:ind w:left="200" w:right="420" w:hanging="192"/>
        <w:spacing w:after="0" w:line="286" w:lineRule="auto"/>
        <w:tabs>
          <w:tab w:leader="none" w:pos="184"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The sales prices of our products, subscriptions, and support offerings may decrease, which may reduce our revenue and gross profits and adversely impact our financial results.</w:t>
      </w:r>
    </w:p>
    <w:p>
      <w:pPr>
        <w:spacing w:after="0" w:line="20" w:lineRule="exact"/>
        <w:rPr>
          <w:rFonts w:ascii="Arial" w:cs="Arial" w:eastAsia="Arial" w:hAnsi="Arial"/>
          <w:sz w:val="16"/>
          <w:szCs w:val="16"/>
          <w:b w:val="1"/>
          <w:bCs w:val="1"/>
          <w:color w:val="E64B38"/>
        </w:rPr>
      </w:pPr>
    </w:p>
    <w:p>
      <w:pPr>
        <w:ind w:left="200" w:right="120" w:hanging="192"/>
        <w:spacing w:after="0" w:line="286" w:lineRule="auto"/>
        <w:tabs>
          <w:tab w:leader="none" w:pos="184"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spacing w:after="0" w:line="20"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We are exposed to the credit and liquidity risk of our customers, and to credit exposure in weakened markets, which could result in material losses.</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A portion of our revenue is generated by sales to government entities, which are subject to a number of challenges and risks.</w:t>
      </w:r>
    </w:p>
    <w:p>
      <w:pPr>
        <w:spacing w:after="0" w:line="72"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We face intense competition in our market and we may lack sufficient financial or other resources to maintain or improve our competitive position.</w:t>
      </w:r>
    </w:p>
    <w:p>
      <w:pPr>
        <w:spacing w:after="0" w:line="86" w:lineRule="exact"/>
        <w:rPr>
          <w:rFonts w:ascii="Arial" w:cs="Arial" w:eastAsia="Arial" w:hAnsi="Arial"/>
          <w:sz w:val="16"/>
          <w:szCs w:val="16"/>
          <w:b w:val="1"/>
          <w:bCs w:val="1"/>
          <w:color w:val="E64B38"/>
        </w:rPr>
      </w:pPr>
    </w:p>
    <w:p>
      <w:pPr>
        <w:ind w:left="200" w:right="140" w:hanging="192"/>
        <w:spacing w:after="0" w:line="286" w:lineRule="auto"/>
        <w:tabs>
          <w:tab w:leader="none" w:pos="184"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We may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spacing w:after="0" w:line="20" w:lineRule="exact"/>
        <w:rPr>
          <w:rFonts w:ascii="Arial" w:cs="Arial" w:eastAsia="Arial" w:hAnsi="Arial"/>
          <w:sz w:val="16"/>
          <w:szCs w:val="16"/>
          <w:b w:val="1"/>
          <w:bCs w:val="1"/>
          <w:color w:val="E64B38"/>
        </w:rPr>
      </w:pPr>
    </w:p>
    <w:p>
      <w:pPr>
        <w:ind w:left="200" w:right="180" w:hanging="192"/>
        <w:spacing w:after="0" w:line="275" w:lineRule="auto"/>
        <w:tabs>
          <w:tab w:leader="none" w:pos="184" w:val="left"/>
        </w:tabs>
        <w:numPr>
          <w:ilvl w:val="0"/>
          <w:numId w:val="20"/>
        </w:numPr>
        <w:rPr>
          <w:rFonts w:ascii="Arial" w:cs="Arial" w:eastAsia="Arial" w:hAnsi="Arial"/>
          <w:sz w:val="16"/>
          <w:szCs w:val="16"/>
          <w:b w:val="1"/>
          <w:bCs w:val="1"/>
          <w:color w:val="E64B38"/>
        </w:rPr>
      </w:pPr>
      <w:r>
        <w:rPr>
          <w:rFonts w:ascii="Arial" w:cs="Arial" w:eastAsia="Arial" w:hAnsi="Arial"/>
          <w:sz w:val="16"/>
          <w:szCs w:val="16"/>
          <w:color w:val="auto"/>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spacing w:after="0" w:line="366" w:lineRule="exact"/>
        <w:rPr>
          <w:rFonts w:ascii="Arial" w:cs="Arial" w:eastAsia="Arial" w:hAnsi="Arial"/>
          <w:sz w:val="16"/>
          <w:szCs w:val="16"/>
          <w:b w:val="1"/>
          <w:bCs w:val="1"/>
          <w:color w:val="E64B38"/>
        </w:rPr>
      </w:pPr>
    </w:p>
    <w:p>
      <w:pPr>
        <w:ind w:left="5540" w:hanging="105"/>
        <w:spacing w:after="0"/>
        <w:tabs>
          <w:tab w:leader="none" w:pos="55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Issues in the development and deployment of AI may result in reputational harm and legal liability and could adversely affect our results of operations.</w:t>
      </w:r>
    </w:p>
    <w:p>
      <w:pPr>
        <w:spacing w:after="0" w:line="86" w:lineRule="exact"/>
        <w:rPr>
          <w:rFonts w:ascii="Arial" w:cs="Arial" w:eastAsia="Arial" w:hAnsi="Arial"/>
          <w:sz w:val="16"/>
          <w:szCs w:val="16"/>
          <w:b w:val="1"/>
          <w:bCs w:val="1"/>
          <w:color w:val="E64B38"/>
        </w:rPr>
      </w:pPr>
    </w:p>
    <w:p>
      <w:pPr>
        <w:ind w:left="200" w:right="240" w:hanging="192"/>
        <w:spacing w:after="0" w:line="286"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A network or data security incident may allow unauthorized access to our network or data, harm our reputation, create additional liability, and adversely impact our financial results.</w:t>
      </w:r>
    </w:p>
    <w:p>
      <w:pPr>
        <w:spacing w:after="0" w:line="20" w:lineRule="exact"/>
        <w:rPr>
          <w:rFonts w:ascii="Arial" w:cs="Arial" w:eastAsia="Arial" w:hAnsi="Arial"/>
          <w:sz w:val="16"/>
          <w:szCs w:val="16"/>
          <w:b w:val="1"/>
          <w:bCs w:val="1"/>
          <w:color w:val="E64B38"/>
        </w:rPr>
      </w:pPr>
    </w:p>
    <w:p>
      <w:pPr>
        <w:ind w:left="200" w:right="80" w:hanging="192"/>
        <w:spacing w:after="0" w:line="275"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spacing w:after="0" w:line="15" w:lineRule="exact"/>
        <w:rPr>
          <w:rFonts w:ascii="Arial" w:cs="Arial" w:eastAsia="Arial" w:hAnsi="Arial"/>
          <w:sz w:val="16"/>
          <w:szCs w:val="16"/>
          <w:b w:val="1"/>
          <w:bCs w:val="1"/>
          <w:color w:val="E64B38"/>
        </w:rPr>
      </w:pPr>
    </w:p>
    <w:p>
      <w:pPr>
        <w:ind w:left="200" w:right="140" w:hanging="192"/>
        <w:spacing w:after="0" w:line="275"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spacing w:after="0" w:line="29"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Claims by others that we infringe their intellectual property rights could harm our business.</w:t>
      </w:r>
    </w:p>
    <w:p>
      <w:pPr>
        <w:spacing w:after="0" w:line="86" w:lineRule="exact"/>
        <w:rPr>
          <w:rFonts w:ascii="Arial" w:cs="Arial" w:eastAsia="Arial" w:hAnsi="Arial"/>
          <w:sz w:val="16"/>
          <w:szCs w:val="16"/>
          <w:b w:val="1"/>
          <w:bCs w:val="1"/>
          <w:color w:val="E64B38"/>
        </w:rPr>
      </w:pPr>
    </w:p>
    <w:p>
      <w:pPr>
        <w:ind w:left="200" w:right="400" w:hanging="192"/>
        <w:spacing w:after="0" w:line="286"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Our proprietary rights may be difficult to enforce or protect, which could enable others to copy or use aspects of our products or subscriptions without compensating us.</w:t>
      </w:r>
    </w:p>
    <w:p>
      <w:pPr>
        <w:spacing w:after="0" w:line="20" w:lineRule="exact"/>
        <w:rPr>
          <w:rFonts w:ascii="Arial" w:cs="Arial" w:eastAsia="Arial" w:hAnsi="Arial"/>
          <w:sz w:val="16"/>
          <w:szCs w:val="16"/>
          <w:b w:val="1"/>
          <w:bCs w:val="1"/>
          <w:color w:val="E64B38"/>
        </w:rPr>
      </w:pPr>
    </w:p>
    <w:p>
      <w:pPr>
        <w:ind w:left="200" w:right="60" w:hanging="192"/>
        <w:spacing w:after="0" w:line="286"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Our use of open source software in our products and subscriptions could negatively affect our ability to sell our products and subscriptions and subject us to possible litigation.</w:t>
      </w:r>
    </w:p>
    <w:p>
      <w:pPr>
        <w:spacing w:after="0" w:line="20"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license technology from third parties, and our inability to maintain those licenses could harm our business.</w:t>
      </w:r>
    </w:p>
    <w:p>
      <w:pPr>
        <w:spacing w:after="0" w:line="72" w:lineRule="exact"/>
        <w:rPr>
          <w:rFonts w:ascii="Arial" w:cs="Arial" w:eastAsia="Arial" w:hAnsi="Arial"/>
          <w:sz w:val="16"/>
          <w:szCs w:val="16"/>
          <w:b w:val="1"/>
          <w:bCs w:val="1"/>
          <w:color w:val="E64B38"/>
        </w:rPr>
      </w:pPr>
    </w:p>
    <w:p>
      <w:pPr>
        <w:ind w:left="200" w:right="80" w:hanging="192"/>
        <w:spacing w:after="0" w:line="275"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spacing w:after="0" w:line="29" w:lineRule="exact"/>
        <w:rPr>
          <w:rFonts w:ascii="Arial" w:cs="Arial" w:eastAsia="Arial" w:hAnsi="Arial"/>
          <w:sz w:val="16"/>
          <w:szCs w:val="16"/>
          <w:b w:val="1"/>
          <w:bCs w:val="1"/>
          <w:color w:val="E64B38"/>
        </w:rPr>
      </w:pPr>
    </w:p>
    <w:p>
      <w:pPr>
        <w:ind w:left="200" w:right="860" w:hanging="192"/>
        <w:spacing w:after="0" w:line="286"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Managing the supply of our hardware products and product components is complex. Insufficient supply and inventory would result in lost sales opportunities or delayed revenue, while excess inventory would harm our gross margins.</w:t>
      </w:r>
    </w:p>
    <w:p>
      <w:pPr>
        <w:spacing w:after="0" w:line="20" w:lineRule="exact"/>
        <w:rPr>
          <w:rFonts w:ascii="Arial" w:cs="Arial" w:eastAsia="Arial" w:hAnsi="Arial"/>
          <w:sz w:val="16"/>
          <w:szCs w:val="16"/>
          <w:b w:val="1"/>
          <w:bCs w:val="1"/>
          <w:color w:val="E64B38"/>
        </w:rPr>
      </w:pPr>
    </w:p>
    <w:p>
      <w:pPr>
        <w:ind w:left="200" w:hanging="192"/>
        <w:spacing w:after="0" w:line="275"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Because some of the key components in our hardware products come from limited sources of supply, we are susceptible to supply shortages or supply changes, which, in certain cases, have disrupted or delayed our scheduled product deliveries to our end-customers, increased our costs and may result in the loss of sales and end-customers.</w:t>
      </w:r>
    </w:p>
    <w:p>
      <w:pPr>
        <w:spacing w:after="0" w:line="29"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If we are unable to attract, retain, and motivate our key technical, sales, and management personnel, our business could suffer.</w:t>
      </w:r>
    </w:p>
    <w:p>
      <w:pPr>
        <w:spacing w:after="0" w:line="72" w:lineRule="exact"/>
        <w:rPr>
          <w:rFonts w:ascii="Arial" w:cs="Arial" w:eastAsia="Arial" w:hAnsi="Arial"/>
          <w:sz w:val="16"/>
          <w:szCs w:val="16"/>
          <w:b w:val="1"/>
          <w:bCs w:val="1"/>
          <w:color w:val="E64B38"/>
        </w:rPr>
      </w:pPr>
    </w:p>
    <w:p>
      <w:pPr>
        <w:ind w:left="200" w:right="200" w:hanging="192"/>
        <w:spacing w:after="0" w:line="299"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generate a significant amount of revenue from sales to distributors, resellers, and end-customers outside of the United States, and we are therefore subject to a number of risks associated with international sales and operations.</w:t>
      </w: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are exposed to fluctuations in foreign currency exchange rates, which could negatively affect our financial condition and operating results.</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face risks associated with having operations and employees located in Israel.</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are subject to governmental export and import controls that could subject us to liability or impair our ability to compete in international markets.</w:t>
      </w:r>
    </w:p>
    <w:p>
      <w:pPr>
        <w:spacing w:after="0" w:line="86" w:lineRule="exact"/>
        <w:rPr>
          <w:rFonts w:ascii="Arial" w:cs="Arial" w:eastAsia="Arial" w:hAnsi="Arial"/>
          <w:sz w:val="16"/>
          <w:szCs w:val="16"/>
          <w:b w:val="1"/>
          <w:bCs w:val="1"/>
          <w:color w:val="E64B38"/>
        </w:rPr>
      </w:pPr>
    </w:p>
    <w:p>
      <w:pPr>
        <w:ind w:left="200" w:right="180" w:hanging="192"/>
        <w:spacing w:after="0" w:line="286"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may incur increased costs to comply with privacy and data protection laws and, if we fail to comply, we could be subject to government enforcement actions, private litigation and adverse publicity.</w:t>
      </w:r>
    </w:p>
    <w:p>
      <w:pPr>
        <w:spacing w:after="0" w:line="20"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may have exposure to greater than anticipated tax liabilities.</w:t>
      </w:r>
    </w:p>
    <w:p>
      <w:pPr>
        <w:spacing w:after="0" w:line="72" w:lineRule="exact"/>
        <w:rPr>
          <w:rFonts w:ascii="Arial" w:cs="Arial" w:eastAsia="Arial" w:hAnsi="Arial"/>
          <w:sz w:val="16"/>
          <w:szCs w:val="16"/>
          <w:b w:val="1"/>
          <w:bCs w:val="1"/>
          <w:color w:val="E64B38"/>
        </w:rPr>
      </w:pPr>
    </w:p>
    <w:p>
      <w:pPr>
        <w:ind w:left="200" w:right="60" w:hanging="192"/>
        <w:spacing w:after="0" w:line="275"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29" w:lineRule="exact"/>
        <w:rPr>
          <w:rFonts w:ascii="Arial" w:cs="Arial" w:eastAsia="Arial" w:hAnsi="Arial"/>
          <w:sz w:val="16"/>
          <w:szCs w:val="16"/>
          <w:b w:val="1"/>
          <w:bCs w:val="1"/>
          <w:color w:val="E64B38"/>
        </w:rPr>
      </w:pPr>
    </w:p>
    <w:p>
      <w:pPr>
        <w:ind w:left="200" w:right="80" w:hanging="192"/>
        <w:spacing w:after="0" w:line="275"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spacing w:after="0" w:line="15" w:lineRule="exact"/>
        <w:rPr>
          <w:rFonts w:ascii="Arial" w:cs="Arial" w:eastAsia="Arial" w:hAnsi="Arial"/>
          <w:sz w:val="16"/>
          <w:szCs w:val="16"/>
          <w:b w:val="1"/>
          <w:bCs w:val="1"/>
          <w:color w:val="E64B38"/>
        </w:rPr>
      </w:pPr>
    </w:p>
    <w:p>
      <w:pPr>
        <w:ind w:left="200" w:right="420" w:hanging="192"/>
        <w:spacing w:after="0" w:line="304"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Our reputation and/or business could be negatively impacted by environmental, social, and governance (“ESG”) matters and/or our reporting of such matters.</w:t>
      </w:r>
    </w:p>
    <w:p>
      <w:pPr>
        <w:spacing w:after="0" w:line="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Failure to comply with governmental laws and regulations could harm our business.</w:t>
      </w:r>
    </w:p>
    <w:p>
      <w:pPr>
        <w:spacing w:after="0" w:line="72" w:lineRule="exact"/>
        <w:rPr>
          <w:rFonts w:ascii="Arial" w:cs="Arial" w:eastAsia="Arial" w:hAnsi="Arial"/>
          <w:sz w:val="16"/>
          <w:szCs w:val="16"/>
          <w:b w:val="1"/>
          <w:bCs w:val="1"/>
          <w:color w:val="E64B38"/>
        </w:rPr>
      </w:pPr>
    </w:p>
    <w:p>
      <w:pPr>
        <w:ind w:left="200" w:right="140" w:hanging="192"/>
        <w:spacing w:after="0" w:line="299" w:lineRule="auto"/>
        <w:tabs>
          <w:tab w:leader="none" w:pos="184"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may not have the ability to raise the funds necessary to settle conversions of our Notes, repurchase our Notes upon a fundamental change, or repay our Notes in cash at their maturity, and our future debt may contain limitations on our ability to pay cash upon conversion or repurchase of our Notes.</w:t>
      </w: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We may still incur substantially more debt or take other actions that would diminish our ability to make payments on our Notes when due.</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The market price of our common stock historically has been volatile, and the value of an investment in our common stock could decline.</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1"/>
        </w:numPr>
        <w:rPr>
          <w:rFonts w:ascii="Arial" w:cs="Arial" w:eastAsia="Arial" w:hAnsi="Arial"/>
          <w:sz w:val="16"/>
          <w:szCs w:val="16"/>
          <w:b w:val="1"/>
          <w:bCs w:val="1"/>
          <w:color w:val="E64B38"/>
        </w:rPr>
      </w:pPr>
      <w:r>
        <w:rPr>
          <w:rFonts w:ascii="Arial" w:cs="Arial" w:eastAsia="Arial" w:hAnsi="Arial"/>
          <w:sz w:val="16"/>
          <w:szCs w:val="16"/>
          <w:color w:val="auto"/>
        </w:rPr>
        <w:t>The convertible note hedge and warrant transactions may affect the value of our common stock.</w:t>
      </w:r>
    </w:p>
    <w:p>
      <w:pPr>
        <w:spacing w:after="0" w:line="200" w:lineRule="exact"/>
        <w:rPr>
          <w:rFonts w:ascii="Arial" w:cs="Arial" w:eastAsia="Arial" w:hAnsi="Arial"/>
          <w:sz w:val="16"/>
          <w:szCs w:val="16"/>
          <w:b w:val="1"/>
          <w:bCs w:val="1"/>
          <w:color w:val="E64B38"/>
        </w:rPr>
      </w:pPr>
    </w:p>
    <w:p>
      <w:pPr>
        <w:spacing w:after="0" w:line="223" w:lineRule="exact"/>
        <w:rPr>
          <w:rFonts w:ascii="Arial" w:cs="Arial" w:eastAsia="Arial" w:hAnsi="Arial"/>
          <w:sz w:val="16"/>
          <w:szCs w:val="16"/>
          <w:b w:val="1"/>
          <w:bCs w:val="1"/>
          <w:color w:val="E64B38"/>
        </w:rPr>
      </w:pPr>
    </w:p>
    <w:p>
      <w:pPr>
        <w:ind w:left="5540" w:hanging="105"/>
        <w:spacing w:after="0"/>
        <w:tabs>
          <w:tab w:leader="none" w:pos="55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Risks Related to Global Economic and Geopolitical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may be adversely affected by unfavorable economic and market conditions and the uncertain geopolitical environment.</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operate globally, and as a result, our business and revenues are impacted by global economic and geopolitical conditions. The instability in the global credit markets, inflation, changes in public policies such as domestic and international regulations, taxes, any increases in interest rates, fluctuations in foreign currency exchange rates, or international trade agreements, international trade disputes, geopolitical turmoil, and other disruptions to global and regional economies and markets continue to add uncertainty to global economic conditions. Military actions or armed conflict, including the hostilities in Israel, Russia’s invasion of Ukraine and any related political or economic responses and counter-responses, and uncertainty about, or changes in, government and trade relationships, policies, and treaties could also lead to worsening economic and market conditions and geopolitical environment. In response to Russia’s invasion of Ukraine, the United States, along with the European Union, has imposed restrictive sanctions on Russia, Russian entities, and Russian citizens (“Sanctions on Russia”). We are subject to these governmental sanctions and export controls, which may subject us to liability if we are not in full compliance with applicable laws. Any continued or further uncertainty, weakness or deterioration in economic and market conditions or the geopolitical environment could have a material and adverse impact on our business, financial condition, and results of operations, including reductions in sales of our products and subscriptions, longer sales cycles, reductions in subscription or contract duration and value, slower adoption of new technologies, alterations in the spending patterns or priorities of current and prospective customers (including delaying purchasing decisions), increased costs for the chips and components to manufacture our products, and increased price competition.</w:t>
      </w:r>
    </w:p>
    <w:p>
      <w:pPr>
        <w:spacing w:after="0" w:line="51"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Risks Related to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GROWTH</w:t>
      </w:r>
    </w:p>
    <w:p>
      <w:pPr>
        <w:spacing w:after="0" w:line="13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Our business and operations have experienced growth in recent periods, and if we do not effectively manage any future growth or are unable to improve our systems, processes, and controls, our operating results could be adversely affected.</w:t>
      </w:r>
    </w:p>
    <w:p>
      <w:pPr>
        <w:spacing w:after="0" w:line="3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have experienced growth and increased demand for our products and subscriptions over the last few years. As a result, our employee headcount has increased, and we expect it to continue to grow over the next year. For example, from the end of fiscal 2023 to the end of the third quarter of fiscal 2024, our headcount increased from 13,948 to 15,166 employees. In addition, as we have grown, the number of end-customers has also increased, and we have managed more complex deployments of our products and subscriptions with larger end-customers. The growth and expansion of our business and product, subscription,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w:t>
      </w:r>
    </w:p>
    <w:p>
      <w:pPr>
        <w:spacing w:after="0" w:line="6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may not be able to successfully implement, scale, or manage improvements to our systems, processes, and controls in an efficient or timely manner, which could result in material disruptions of our operations and business.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would add complexity to our organization and require effective coordination throughout our organization. Failure to manage any future growth effectively could result in increased costs, disrupt our existing end-customer relationships, reduce demand for or limit us to smaller deployments of our products, or materially harm our business performance and operating results.</w:t>
      </w:r>
    </w:p>
    <w:p>
      <w:pPr>
        <w:spacing w:after="0" w:line="84"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b w:val="1"/>
          <w:bCs w:val="1"/>
          <w:i w:val="1"/>
          <w:iCs w:val="1"/>
          <w:color w:val="auto"/>
        </w:rPr>
        <w:t>Our revenue growth rate in recent periods may not be indicative of our future performance, and we may not be able to maintain profitability, which could cause our business, financial condition, and operating results to suffer.</w:t>
      </w:r>
    </w:p>
    <w:p>
      <w:pPr>
        <w:spacing w:after="0" w:line="47"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auto"/>
        </w:rPr>
        <w:t>We have experienced revenue growth rates of 18.2% and 25.0% for the nine months ended April 30, 2024 and 2023, respectively. Our revenue for any quarterly or annual period should not be relied upon as an indication of our future revenue or revenue growth for any future period. If we are unable to maintain consistent or increasing revenue or revenue growth, the market price of our common stock could be volatile, and it may be difficult for us to maintain profitability or maintain or increase cash flow on a consistent basis.</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addition, we have incurred losses in fiscal years prior to fiscal 2023. We anticipate that our operating expenses will continue to increase in the foreseeable future as we continue to grow our business. Our growth efforts may prove more expensive than we currently anticipate, and we may not succeed in increasing our revenues sufficiently, or at all, to offset increasing expenses. Revenue growth may slow or revenue may decline for a number of possible reasons, including slowing demand for our products or subscriptions, increasing competition, a decrease in the growth of, or a demand shift in, our overall market, or a failure to capitalize on growth opportunities. We have also entered into a substantial amount of capital commitments for operating lease obligations and other purchase commitments. Any failure to increase our revenue as we grow our business could prevent us from maintaining profitability or maintaining or increasing cash flow on a consistent basis, or satisfying our capital commitments. If we are unable to navigate these challenges as we encounter them, our business, financial condition, and operating results may suffer.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Our operating results may vary significantly from period to period, which makes our results difficult to predict and could cause our results to fall short of expectations, and such results may not be indicative of future performance.</w:t>
      </w:r>
    </w:p>
    <w:p>
      <w:pPr>
        <w:spacing w:after="0" w:line="4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operating results have fluctuated in the past, and will likely continue to fluctuate in the future, as a result of a number of factors, many of which are outside of our control and may be difficult to predict, including those factors described in this Risk Factor section. For example, we have historically received a substantial portion of sales orders and generated a substantial portion of revenue during the last few weeks of each fiscal quarter. If expected revenue at the end of any fiscal quarter is delayed for any reason, including the failure of anticipated purchase orders to materialize (particularly for large enterprise end-customers with lengthy sales cycles), our logistics partners’ inability to ship products prior to fiscal quarter-end to fulfill purchase orders received near the end of a fiscal quarter, our failure to manage inventory to meet demand, any failure of our systems related to order review and processing, or any delays in shipments based on trade compliance requirements (including new compliance requirements imposed by new or renegotiated trade agreements), our revenue could fall below our expectations and the estimates of analysts for that quarter. Due to these fluctuations, comparing our revenue, margins, or other operating results on a period-to-period basis may not be meaningful, and our past results should not be relied on as an indication of our future performance.</w:t>
      </w:r>
    </w:p>
    <w:p>
      <w:pPr>
        <w:spacing w:after="0" w:line="6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variability and unpredictability could also result in our failure to meet our revenue, margin, or other operating result expectations contained in any forward-looking statements (including financial or business expectations we have provided)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may cause fluctuations in our revenue.</w:t>
      </w:r>
    </w:p>
    <w:p>
      <w:pPr>
        <w:spacing w:after="0" w:line="11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We believe there are significant seasonal factors that may cause our second and fourth fiscal quarters to record greater revenue sequentially than our first and third fiscal quarters. We believe that this seasonality results from a number of factors, including:</w:t>
      </w:r>
    </w:p>
    <w:p>
      <w:pPr>
        <w:spacing w:after="0" w:line="33" w:lineRule="exact"/>
        <w:rPr>
          <w:sz w:val="20"/>
          <w:szCs w:val="20"/>
          <w:color w:val="auto"/>
        </w:rPr>
      </w:pPr>
    </w:p>
    <w:p>
      <w:pPr>
        <w:ind w:left="200" w:right="260" w:hanging="192"/>
        <w:spacing w:after="0" w:line="286" w:lineRule="auto"/>
        <w:tabs>
          <w:tab w:leader="none" w:pos="184" w:val="left"/>
        </w:tabs>
        <w:numPr>
          <w:ilvl w:val="0"/>
          <w:numId w:val="22"/>
        </w:numPr>
        <w:rPr>
          <w:rFonts w:ascii="Arial" w:cs="Arial" w:eastAsia="Arial" w:hAnsi="Arial"/>
          <w:sz w:val="16"/>
          <w:szCs w:val="16"/>
          <w:b w:val="1"/>
          <w:bCs w:val="1"/>
          <w:color w:val="E64B38"/>
        </w:rPr>
      </w:pPr>
      <w:r>
        <w:rPr>
          <w:rFonts w:ascii="Arial" w:cs="Arial" w:eastAsia="Arial" w:hAnsi="Arial"/>
          <w:sz w:val="16"/>
          <w:szCs w:val="16"/>
          <w:color w:val="auto"/>
        </w:rPr>
        <w:t>end-customers with a December 31 fiscal year-end choosing to spend remaining unused portions of their discretionary budgets before their fiscal year-end, which potentially results in a positive impact on our revenue in our second fiscal quarter;</w:t>
      </w:r>
    </w:p>
    <w:p>
      <w:pPr>
        <w:spacing w:after="0" w:line="20" w:lineRule="exact"/>
        <w:rPr>
          <w:rFonts w:ascii="Arial" w:cs="Arial" w:eastAsia="Arial" w:hAnsi="Arial"/>
          <w:sz w:val="16"/>
          <w:szCs w:val="16"/>
          <w:b w:val="1"/>
          <w:bCs w:val="1"/>
          <w:color w:val="E64B38"/>
        </w:rPr>
      </w:pPr>
    </w:p>
    <w:p>
      <w:pPr>
        <w:ind w:left="200" w:right="560" w:hanging="192"/>
        <w:spacing w:after="0" w:line="299" w:lineRule="auto"/>
        <w:tabs>
          <w:tab w:leader="none" w:pos="184" w:val="left"/>
        </w:tabs>
        <w:numPr>
          <w:ilvl w:val="0"/>
          <w:numId w:val="22"/>
        </w:numPr>
        <w:rPr>
          <w:rFonts w:ascii="Arial" w:cs="Arial" w:eastAsia="Arial" w:hAnsi="Arial"/>
          <w:sz w:val="16"/>
          <w:szCs w:val="16"/>
          <w:b w:val="1"/>
          <w:bCs w:val="1"/>
          <w:color w:val="E64B38"/>
        </w:rPr>
      </w:pPr>
      <w:r>
        <w:rPr>
          <w:rFonts w:ascii="Arial" w:cs="Arial" w:eastAsia="Arial" w:hAnsi="Arial"/>
          <w:sz w:val="16"/>
          <w:szCs w:val="16"/>
          <w:color w:val="auto"/>
        </w:rPr>
        <w:t>our sales compensation plans, which are typically structured around annual quotas and commission rate accelerators, which potentially results in a positive impact on our revenue in our fourth fiscal quarter; and</w:t>
      </w:r>
    </w:p>
    <w:p>
      <w:pPr>
        <w:ind w:left="200" w:right="100" w:hanging="192"/>
        <w:spacing w:after="0" w:line="304" w:lineRule="auto"/>
        <w:tabs>
          <w:tab w:leader="none" w:pos="184" w:val="left"/>
        </w:tabs>
        <w:numPr>
          <w:ilvl w:val="0"/>
          <w:numId w:val="22"/>
        </w:numPr>
        <w:rPr>
          <w:rFonts w:ascii="Arial" w:cs="Arial" w:eastAsia="Arial" w:hAnsi="Arial"/>
          <w:sz w:val="16"/>
          <w:szCs w:val="16"/>
          <w:b w:val="1"/>
          <w:bCs w:val="1"/>
          <w:color w:val="E64B38"/>
        </w:rPr>
      </w:pPr>
      <w:r>
        <w:rPr>
          <w:rFonts w:ascii="Arial" w:cs="Arial" w:eastAsia="Arial" w:hAnsi="Arial"/>
          <w:sz w:val="16"/>
          <w:szCs w:val="16"/>
          <w:color w:val="auto"/>
        </w:rPr>
        <w:t>the timing of end-customer budget planning at the beginning of the calendar year, which can result in a delay in spending at the beginning of the calendar year, potentially resulting in a negative impact on our revenue in our third fiscal quarter.</w:t>
      </w:r>
    </w:p>
    <w:p>
      <w:pPr>
        <w:spacing w:after="0" w:line="3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As we continue to grow, seasonal or cyclical variations in our operations may become more pronounced, and our business, operating results, and financial position may be adversely affected.</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PRODUCTS AND TECHNOLOGY</w:t>
      </w:r>
    </w:p>
    <w:p>
      <w:pPr>
        <w:spacing w:after="0" w:line="119"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b w:val="1"/>
          <w:bCs w:val="1"/>
          <w:i w:val="1"/>
          <w:iCs w:val="1"/>
          <w:color w:val="auto"/>
        </w:rPr>
        <w:t>If we are unable to sell new and additional product, subscription, and support offerings to our end-customers, especially to large enterprise customers, our future revenue and operating results will be harmed.</w:t>
      </w:r>
    </w:p>
    <w:p>
      <w:pPr>
        <w:spacing w:after="0" w:line="2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Our future success depends, in part, on our ability to expand the deployment of our portfolio with existing end-customers, especially large enterprise customers, including through our platformization strategy, and create demand for our new offerings, The rate at which our end-customers purchase additional products, subscriptions, and support depends on a number of factors, including the perceived need for additional security products, including subscription and support offerings, as well as general economic conditions. If our efforts to sell additional products and subscriptions to our end-customers are not successful, our revenues may grow more slowly than expected or decline.</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Sales to large enterprise end-customers, which is part of our growth strategy, involve risks that may not be present, or that are present to a lesser extent, with sales to smaller entities, such as (a) longer sales cycles and the associated risk that substantial time and resources may be spent on a potential end-customer that elects not to purchase our products, subscriptions, and support, and (b) increased purchasing power and leverage held by large end-customers in negotiating contractual arrangements. Deployments for large enterprise end-customers are also more complex, require greater product functionality, scalability, and a broader range of services, and are more time-consuming. All of these factors add further risk to business conducted with these end-customers. Failure to realize sales from large enterprise end-customers could materially and adversely affect our business, operating results, and financial condition.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new customers, our future results of operations could be harmed.</w:t>
      </w:r>
    </w:p>
    <w:p>
      <w:pPr>
        <w:spacing w:after="0" w:line="11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To increase our revenue and maintain profitability, we must add new customers. To do so, we must successfully convince prospective customers of the value of adopting our solutions. We are engaging in costly marketing and sales efforts to accelerate platformization and attract new customers, which may fail or may not be as successful as intended or at all. Additionally, prospective customers’ decisions to purchase our solutions depend on a variety of factors, many of which are out of our control. These factors significantly impact our ability to add new customers and increase the time, resources and sophistication required to do so. For example, prospective customers may face real or perceived switching costs when switching to our solutions from other legacy security vendors and products. Deployment of our solutions may require a significant commitment of resources from our customers. Any deterioration in general economic conditions, including as a result of the geopolitical environment or inflation (as well as government policies such as raising interest rates in response to inflation), have in the past caused, and may in the future cause, our current and prospective customers to delay or cut their overall security and IT operations spending. If our efforts to attract new customers are not successful, our sales may not grow as quickly as anticipated, or at all, and our business, operating results, and financial condition will be harmed.</w:t>
      </w:r>
    </w:p>
    <w:p>
      <w:pPr>
        <w:spacing w:after="0" w:line="76" w:lineRule="exact"/>
        <w:rPr>
          <w:sz w:val="20"/>
          <w:szCs w:val="20"/>
          <w:color w:val="auto"/>
        </w:rPr>
      </w:pPr>
    </w:p>
    <w:p>
      <w:pPr>
        <w:jc w:val="both"/>
        <w:ind w:right="140"/>
        <w:spacing w:after="0" w:line="279" w:lineRule="auto"/>
        <w:rPr>
          <w:sz w:val="20"/>
          <w:szCs w:val="20"/>
          <w:color w:val="auto"/>
        </w:rPr>
      </w:pPr>
      <w:r>
        <w:rPr>
          <w:rFonts w:ascii="Arial" w:cs="Arial" w:eastAsia="Arial" w:hAnsi="Arial"/>
          <w:sz w:val="16"/>
          <w:szCs w:val="16"/>
          <w:b w:val="1"/>
          <w:bCs w:val="1"/>
          <w:i w:val="1"/>
          <w:iCs w:val="1"/>
          <w:color w:val="auto"/>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spacing w:after="0" w:line="4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Subscription and support revenue accounts for a significant portion of our revenue, comprising 80.8% of total revenue in the nine months ended April 30, 2024 and 78.3% of total revenue in the nine months ended April 30, 2023. Sales and renewals of subscription and support contracts may decline and fluctuate as a result of a number of factors, including end-customers’ level of satisfaction with our products and subscriptions, the frequency and severity of subscription outages, our product uptime or latency, the prices of our products and subscriptions, and reductions in our end-customers’ spending levels. Existing end-customers have no contractual obligation to, and may not, renew their subscription and support contracts after the completion of their initial contract period. Additionally, our end-customers may renew their subscription and support agreements for shorter contract lengths or on other terms that are less economically beneficial to us. If our sales of new or renewal subscription and support contracts decline, our total revenue and revenue growth rate may decline, and our business will suffer. In addition, because we recognize subscription and support revenue over the term of the relevant service period, which is typically one to five years, a decline in subscription or support contracts in any one fiscal quarter will not be fully or immediately reflected in revenue in that fiscal quarter but will negatively affect our revenue in future fiscal quarters.</w:t>
      </w:r>
    </w:p>
    <w:p>
      <w:pPr>
        <w:spacing w:after="0" w:line="76"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b w:val="1"/>
          <w:bCs w:val="1"/>
          <w:i w:val="1"/>
          <w:iCs w:val="1"/>
          <w:color w:val="auto"/>
        </w:rPr>
        <w:t>The sales prices of our products, subscriptions, and support offerings may decrease, which may reduce our revenue and gross profits and adversely impact our financial results.</w:t>
      </w:r>
    </w:p>
    <w:p>
      <w:pPr>
        <w:spacing w:after="0" w:line="2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sales prices for our products, subscriptions, and support offerings may decline for a variety of reasons, including competitive pricing pressures, discounts, a change in our mix of products, subscriptions, and support offerings, anticipation of the introduction of new products, subscriptions, or support offerings, or promotional programs or pricing pressures. Furthermore, we anticipate that the sales prices and gross profits for our products could decrease over product life cycles. Declining sales prices could adversely affect our revenue, gross profits, and profitability.</w:t>
      </w:r>
    </w:p>
    <w:p>
      <w:pPr>
        <w:spacing w:after="0" w:line="8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spacing w:after="0" w:line="4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Substantially all of our revenue is generated by sales through our channel partners, including distributors and resellers. For the nine months ended April 30, 2024, three distributors individually represented 10% or more of our total revenue and in the aggregate represented 46.1% of our total revenue. As of April 30, 2024, two distributors individually represented 10% or more of our gross accounts receivable and in the aggregate represented 37.1% of our gross accounts receivable.</w:t>
      </w:r>
    </w:p>
    <w:p>
      <w:pPr>
        <w:spacing w:after="0" w:line="6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provide our channel partners with specific training and programs to assist them in selling our products, including subscriptions and support offerings, but there can be no assurance that these steps will be utilized or effective. In addition, our channel partners may be unsuccessful in marketing, selling, and supporting our products and subscriptions. We may not be able to incentivize these channel partners to sell our products and subscriptions to end-customers and, in particular, to large enterprises. These channel partners may also have incentives to promote our competitors’ products and may devote more resources to the marketing, sales, and support of competitive products. Our agreements with our channel partners may generally be terminated for any reason by either party with advance notice prior to each annual renewal date. We cannot be certain that we will retain these channel partners or that we will be able to secure additional or replacement channel partners. In addition, any new channel partner requires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subscriptions to end-customers or violate laws or our corporate policies. If we fail to effectively manage our sales channels or channel partners, our ability to sell our products and subscriptions and operating results will be harmed.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440"/>
        <w:spacing w:after="0" w:line="294" w:lineRule="auto"/>
        <w:rPr>
          <w:sz w:val="20"/>
          <w:szCs w:val="20"/>
          <w:color w:val="auto"/>
        </w:rPr>
      </w:pPr>
      <w:r>
        <w:rPr>
          <w:rFonts w:ascii="Arial" w:cs="Arial" w:eastAsia="Arial" w:hAnsi="Arial"/>
          <w:sz w:val="16"/>
          <w:szCs w:val="16"/>
          <w:b w:val="1"/>
          <w:bCs w:val="1"/>
          <w:i w:val="1"/>
          <w:iCs w:val="1"/>
          <w:color w:val="auto"/>
        </w:rPr>
        <w:t>We are exposed to the credit and liquidity risk of our customers, and to credit exposure in weakened markets, which could result in material losses.</w:t>
      </w:r>
    </w:p>
    <w:p>
      <w:pPr>
        <w:spacing w:after="0" w:line="4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Most of our sales are made on an open credit basis. Beyond our open credit arrangements, we have also experienced demands for customer financing and deferred payments due to, among other things, macro-economic conditions. To respond to this demand, our customer financing activities have increased and will likely continue to increase in the future. Increases in deferred payments result in payments being made over time, negatively impacting our short-term cash flows, and subject us to risk of non-payment by our customers, including as a result of insolvency. We monitor customer payment capability in granting such financing arrangements, seek to limit the amounts to what we believe customers can pay and maintain reserves we believe are adequate to cover exposure for doubtful accounts to mitigate credit risks of these customers. However, there can be no assurance that these programs will be effective in reducing our credit risks. To the degree that turmoil in the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7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exposure to the credit risks relating to the financing activities described above may increase if our customers are adversely affected by a global economic downturn or periods of economic uncertainty. If we are unable to adequately control these risks, our business, operating results, and financial condition could be harmed. In addition, in the past, we have experienced non-material losses due to bankruptcies among customers. If these losses increase due to global economic conditions, they could harm our business and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portion of our revenue is generated by sales to government entities, which are subject to a number of challenges and risks.</w:t>
      </w:r>
    </w:p>
    <w:p>
      <w:pPr>
        <w:spacing w:after="0" w:line="12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The substantial majority of our sales to date to government entities have been made indirectly through our channel partners. Government certification requirements for products and subscriptions like ours may change, thereby restricting our ability to sell into the federal government sector until we have attained the revised certification. If our products and subscriptions are late in achieving or fail to achieve compliance with these certifications and standards, or our competitors achieve compliance with these certifications and standards, we may be disqualified from selling our products, subscriptions, and support offerings to such governmental entity, or be at a competitive disadvantage, which would harm our business, operating results, and financial condition. Government demand and payment for our products, subscriptions, and support offerings may be impacted by government shutdowns, public sector budgetary cycles, contracting requirements, and funding authorizations, with funding reductions or delays adversely affecting public sector demand for our products, subscriptions, and support offerings. Government entities may have statutory, contractual, or other legal rights to terminate contracts with our distributors and resellers for convenience or due to a default, and any such termination may adversely impact our future operating results. Governments routinely investigate and audit government contractors’ administrative processes, and any unfavorable audit could result in the government refusing to continue buying our products, subscriptions, and support offerings, a reduction of revenue, or fines or civil or criminal liability if the audit uncovers improper or illegal activities, which could adversely impact our operating results in a material way. Additionally, the U.S. government may require certain of the products that it purchases to be manufactured in the United States and other relatively high-cost manufacturing locations, and we may not manufacture all products in locations that meet such requirements, affecting our ability to sell these products, subscriptions, and support offerings to the U.S. government.</w:t>
      </w:r>
    </w:p>
    <w:p>
      <w:pPr>
        <w:spacing w:after="0" w:line="75" w:lineRule="exact"/>
        <w:rPr>
          <w:sz w:val="20"/>
          <w:szCs w:val="20"/>
          <w:color w:val="auto"/>
        </w:rPr>
      </w:pPr>
    </w:p>
    <w:p>
      <w:pPr>
        <w:ind w:right="640"/>
        <w:spacing w:after="0" w:line="311" w:lineRule="auto"/>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industry for enterprise security products is intensely competitive, and we expect competition to increase in the future from established competitors and new market entrants. Our main competitors fall into four categories:</w:t>
      </w:r>
    </w:p>
    <w:p>
      <w:pPr>
        <w:spacing w:after="0" w:line="61" w:lineRule="exact"/>
        <w:rPr>
          <w:sz w:val="20"/>
          <w:szCs w:val="20"/>
          <w:color w:val="auto"/>
        </w:rPr>
      </w:pPr>
    </w:p>
    <w:p>
      <w:pPr>
        <w:ind w:left="200" w:right="540" w:hanging="192"/>
        <w:spacing w:after="0" w:line="286" w:lineRule="auto"/>
        <w:tabs>
          <w:tab w:leader="none" w:pos="184" w:val="left"/>
        </w:tabs>
        <w:numPr>
          <w:ilvl w:val="0"/>
          <w:numId w:val="23"/>
        </w:numPr>
        <w:rPr>
          <w:rFonts w:ascii="Arial" w:cs="Arial" w:eastAsia="Arial" w:hAnsi="Arial"/>
          <w:sz w:val="16"/>
          <w:szCs w:val="16"/>
          <w:b w:val="1"/>
          <w:bCs w:val="1"/>
          <w:color w:val="E64B38"/>
        </w:rPr>
      </w:pPr>
      <w:r>
        <w:rPr>
          <w:rFonts w:ascii="Arial" w:cs="Arial" w:eastAsia="Arial" w:hAnsi="Arial"/>
          <w:sz w:val="16"/>
          <w:szCs w:val="16"/>
          <w:color w:val="auto"/>
        </w:rPr>
        <w:t>large companies that incorporate security features in their products, such as Cisco, Microsoft, or those that have acquired, or may acquire, security vendors and have the technical and financial resources to bring competitive solutions to the market;</w:t>
      </w:r>
    </w:p>
    <w:p>
      <w:pPr>
        <w:spacing w:after="0" w:line="20"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3"/>
        </w:numPr>
        <w:rPr>
          <w:rFonts w:ascii="Arial" w:cs="Arial" w:eastAsia="Arial" w:hAnsi="Arial"/>
          <w:sz w:val="16"/>
          <w:szCs w:val="16"/>
          <w:b w:val="1"/>
          <w:bCs w:val="1"/>
          <w:color w:val="E64B38"/>
        </w:rPr>
      </w:pPr>
      <w:r>
        <w:rPr>
          <w:rFonts w:ascii="Arial" w:cs="Arial" w:eastAsia="Arial" w:hAnsi="Arial"/>
          <w:sz w:val="16"/>
          <w:szCs w:val="16"/>
          <w:color w:val="auto"/>
        </w:rPr>
        <w:t>independent security vendors, such as Check Point, Fortinet, CrowdStrike, and Zscaler, that offer a mix of security products;</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3"/>
        </w:numPr>
        <w:rPr>
          <w:rFonts w:ascii="Arial" w:cs="Arial" w:eastAsia="Arial" w:hAnsi="Arial"/>
          <w:sz w:val="16"/>
          <w:szCs w:val="16"/>
          <w:b w:val="1"/>
          <w:bCs w:val="1"/>
          <w:color w:val="E64B38"/>
        </w:rPr>
      </w:pPr>
      <w:r>
        <w:rPr>
          <w:rFonts w:ascii="Arial" w:cs="Arial" w:eastAsia="Arial" w:hAnsi="Arial"/>
          <w:sz w:val="16"/>
          <w:szCs w:val="16"/>
          <w:color w:val="auto"/>
        </w:rPr>
        <w:t>startups and point-product vendors that offer independent or emerging solutions across various areas of security; and</w:t>
      </w:r>
    </w:p>
    <w:p>
      <w:pPr>
        <w:spacing w:after="0" w:line="72"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3"/>
        </w:numPr>
        <w:rPr>
          <w:rFonts w:ascii="Arial" w:cs="Arial" w:eastAsia="Arial" w:hAnsi="Arial"/>
          <w:sz w:val="16"/>
          <w:szCs w:val="16"/>
          <w:b w:val="1"/>
          <w:bCs w:val="1"/>
          <w:color w:val="E64B38"/>
        </w:rPr>
      </w:pPr>
      <w:r>
        <w:rPr>
          <w:rFonts w:ascii="Arial" w:cs="Arial" w:eastAsia="Arial" w:hAnsi="Arial"/>
          <w:sz w:val="16"/>
          <w:szCs w:val="16"/>
          <w:color w:val="auto"/>
        </w:rPr>
        <w:t>public cloud vendors and startups that offer solutions for cloud security (private, public, and hybrid cloud).</w:t>
      </w:r>
    </w:p>
    <w:p>
      <w:pPr>
        <w:spacing w:after="0" w:line="200" w:lineRule="exact"/>
        <w:rPr>
          <w:rFonts w:ascii="Arial" w:cs="Arial" w:eastAsia="Arial" w:hAnsi="Arial"/>
          <w:sz w:val="16"/>
          <w:szCs w:val="16"/>
          <w:b w:val="1"/>
          <w:bCs w:val="1"/>
          <w:color w:val="E64B38"/>
        </w:rPr>
      </w:pPr>
    </w:p>
    <w:p>
      <w:pPr>
        <w:spacing w:after="0" w:line="264" w:lineRule="exact"/>
        <w:rPr>
          <w:rFonts w:ascii="Arial" w:cs="Arial" w:eastAsia="Arial" w:hAnsi="Arial"/>
          <w:sz w:val="16"/>
          <w:szCs w:val="16"/>
          <w:b w:val="1"/>
          <w:bCs w:val="1"/>
          <w:color w:val="E64B38"/>
        </w:rPr>
      </w:pPr>
    </w:p>
    <w:p>
      <w:pPr>
        <w:ind w:left="5540" w:hanging="105"/>
        <w:spacing w:after="0"/>
        <w:tabs>
          <w:tab w:leader="none" w:pos="5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Many of our competitors have greater financial, technical, marketing, sales, and other resources, greater name recognition, longer operating histories, and a larger base of customers than we do. They may be able to devote greater resources to the promotion and sale of products and services than we can, and they may offer lower pricing than we do. Further, they may have greater resources for research and development of new technologies, the provision of customer support, and the pursuit of acquisitions. They may also have larger and more mature intellectual property portfolios, and broader and more diverse product and service offerings, which allow them to leverage their relationships based on other products or incorporate functionality into existing products to gain business in a manner that discourages users from purchasing our products and subscriptions, including incorporating cybersecurity features into their existing products or services and product bundling, selling at zero or negative margins, and offering concessions or a closed technology offering. Some competitors may have broader distribution and established relationships with distribution partners and end-customers. Other competitors specialize in providing protection from a single type of security threat, which may allow them to deliver these specialized security products to the market more quickly than we can.</w:t>
      </w:r>
    </w:p>
    <w:p>
      <w:pPr>
        <w:spacing w:after="0" w:line="26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also face competition from companies that have entrenched legacy offerings at end-user customers. End-user customers have also often invested substantial personnel and financial resources to design and operate their networks and have established deep relationships with other providers of networking and security products. As a result, these organizations may prefer to purchase from their existing suppliers rather than add or switch to a new supplier such as us. In addition, as our customers refresh the security products bought in prior years, they may seek to consolidate vendors, which may result in current customers choosing to purchase products from our competitors. Due to budget constraints or economic downturns, organizations may add solutions to their existing network security infrastructure rather than replacing it with our products and subscriptions.</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Conditions in our market could change rapidly and significantly as a result of technological advancements, partnering or acquisitions by our competitors, or continuing market consolidation. Our competitors and potential competitors may be able to develop new or disruptive technologies, products, or services, and leverage new business models that are equal or superior to ours, achieve greater market acceptance of their products and services, disrupt our markets, and increase sales by utilizing different distribution channels than we do. In addition, new and enhanced technologies, including AI and machine learning, continue to increase our competition. To compete successfully, we must accurately anticipate technology developments and deliver innovative, relevant, and useful products, services, and technologies in a timely manner. Some of our competitors have made or could make acquisitions of businesses that may allow them to offer more directly competitive and comprehensive solutions than they had previously offered and adapt more quickly to new technologies and end-customer needs. Our current and potential competitors may also establish cooperative relationships among themselves or with third parties that may further enhance their resources.</w:t>
      </w:r>
    </w:p>
    <w:p>
      <w:pPr>
        <w:spacing w:after="0" w:line="83" w:lineRule="exact"/>
        <w:rPr>
          <w:sz w:val="20"/>
          <w:szCs w:val="20"/>
          <w:color w:val="auto"/>
        </w:rPr>
      </w:pPr>
    </w:p>
    <w:p>
      <w:pPr>
        <w:jc w:val="both"/>
        <w:ind w:right="400"/>
        <w:spacing w:after="0" w:line="275" w:lineRule="auto"/>
        <w:rPr>
          <w:sz w:val="20"/>
          <w:szCs w:val="20"/>
          <w:color w:val="auto"/>
        </w:rPr>
      </w:pPr>
      <w:r>
        <w:rPr>
          <w:rFonts w:ascii="Arial" w:cs="Arial" w:eastAsia="Arial" w:hAnsi="Arial"/>
          <w:sz w:val="16"/>
          <w:szCs w:val="16"/>
          <w:color w:val="auto"/>
        </w:rPr>
        <w:t>These competitive pressures in our market or our failure to compete effectively may result in price reductions, fewer orders, reduced revenue and gross margins, and loss of market share. If we are unable to compete successfully, or if competing successfully requires us to take aggressive pricing or other actions, our business, financial condition, and results of operations would be adversely affected.</w:t>
      </w:r>
    </w:p>
    <w:p>
      <w:pPr>
        <w:spacing w:after="0" w:line="58"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b w:val="1"/>
          <w:bCs w:val="1"/>
          <w:i w:val="1"/>
          <w:iCs w:val="1"/>
          <w:color w:val="auto"/>
        </w:rPr>
        <w:t>We may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spacing w:after="0" w:line="4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As part of our business strategy, we acquire and make investments in complementary companies, products, or technologies. The identification of suitable acquisition candidates is difficult, and we may not be able to complete such acquisitions on favorable terms, if at all. In addition, we may be subject to claims or liabilities assumed from an acquired company, product, or technology; acquisitions we complete could be viewed negatively by our end-customers,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including claims from terminated employees, customers, former stockholders, or other third parties, which may differ from or be more significant than the risks our business faces.</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If we are unsuccessful at integrating past or future acquisitions in a timely manner, or the technologies and operations associated with such acquisitions, into our company, our revenue and operating results could be adversely affected. Any integration process may require significant time and resources, which may disrupt our ongoing business and divert management’s attention, and we may not be able to manage the integration process successfully or in a timely manner. We may have difficulty retaining key personnel of the acquired business. We may not successfully evaluate or utilize the acquired technology or personnel, realize anticipated synergies from the acquisition, or accurately forecast the financial impact of an acquisition transaction and integration of such acquisition, including accounting charges and any potential impairment of goodwill and intangible assets recognized in connection with such acquisitions. In addition, any acquisitions may be viewed negatively by our customers, financial markets, or investors and may not ultimately strengthen our competitive position or achieve our goals and business strategy.</w:t>
      </w:r>
    </w:p>
    <w:p>
      <w:pPr>
        <w:spacing w:after="0" w:line="86"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We may have to pay cash, incur debt, or issue equity or equity-linked securities to pay for any future acquisitions, each of which could adversely affect our financial condition or the market price of our common stock. Furthermore, the sale of equity or issuance of equity-linked debt to finance any future acquisitions could result in dilution to our stockholders. The occurrence of any of these risks could harm our business, operating results, and financial condition.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b w:val="1"/>
          <w:bCs w:val="1"/>
          <w:i w:val="1"/>
          <w:iCs w:val="1"/>
          <w:color w:val="auto"/>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spacing w:after="0" w:line="4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enterprise security industry has grown quickly and continues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If we fail to effectively anticipate, identify, and respond to rapidly evolving technological and market developments in a timely manner, our business will be harmed.</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order to anticipate and respond effectively to rapid technological changes and market developments, as well as evolving security threats, we must invest effectively in research and development to increase the reliability, availability, and scalability of our existing products and subscriptions and introduce new products and subscriptions. Our investments in research and development, including investments in AI, may not result in design or performance improvements, marketable products, subscriptions, or features, or may not achieve the cost savings or additional revenue that we expect. In addition, new and evolving products and services, including those that use AI, require significant investment and raise ethical, technological, legal, regulatory, and other challenges, which may negatively affect our brands and demand for our products and services. Because all of these investment areas are inherently risky, no assurance can be given that such strategies and offerings will be successful or will not harm our reputation, financial condition, and operating results.</w:t>
      </w:r>
    </w:p>
    <w:p>
      <w:pPr>
        <w:spacing w:after="0" w:line="68"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In addition, we must continually change our products and expand our business strategy in response to changes in network infrastructure requirements, including the expanding use of cloud computing. For example, organizations are moving portions of their data to be managed by third parties, primarily infrastructure, platform, and application service providers, and may rely on such providers’ internal security measures. While we have historically been successful in developing, acquiring, and marketing new products and product enhancements that respond to technological change and evolving industry standards, we may not be able to continue to do so, and there can be no assurance that our new or future offerings will be successful or will achieve widespread market acceptance. If we fail to accurately predict and address end-customers’ changing needs and emerging technological trends in the enterprise security industry, including in the areas of AI, mobility, virtualization, cloud computing, and software-defined networks, our business could be harmed.</w:t>
      </w:r>
    </w:p>
    <w:p>
      <w:pPr>
        <w:spacing w:after="0" w:line="8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technology in our portfolio is especially complex because it needs to effectively identify and respond to new and increasingly sophisticated methods of attack, while minimizing the impact on network performance. Additionally, some of our new features and related enhancements may require us to develop new hardware architectures that involve complex, expensive, and time-consuming research and development processes. The development of our portfolio is difficult and the timetable for commercial release and availability is uncertain as there can be long time periods between releases and availability of new features. If we experience unanticipated delays in the availability of new products, features, and subscriptions, and fail to meet customer expectations for such availability, our competitive position and business prospects will be harmed.</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success of new features depends on several factors, including appropriate new product definition, differentiation of new products, subscriptions, and features from those of our competitors, and market acceptance of these products, services, and features. Moreover, successful new product introduction and transition depends on a number of factors, including our ability to manage the risks associated with new product production ramp-up issues, the availability of application software for new products, the effective management of purchase commitments and inventory, the availability of products in appropriate quantities and costs to meet anticipated demand, and the risk that new products may have quality or other defects or deficiencies, especially in the early stages of introduction. There can be no assurance that we will successfully identify opportunities for new products and subscriptions, develop and bring new products and subscriptions to market in a timely manner, achieve market acceptance of our products and subscriptions, or that products, subscriptions, and technologies developed by others will not render our products, subscriptions, and technologies obsolete or noncompetitive.</w:t>
      </w:r>
    </w:p>
    <w:p>
      <w:pPr>
        <w:spacing w:after="0" w:line="74"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Issues in the development and deployment of AI may result in reputational harm and legal liability and could adversely affect our results of operations.</w:t>
      </w:r>
    </w:p>
    <w:p>
      <w:pPr>
        <w:spacing w:after="0" w:line="4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have incorporated, and are continuing to develop and deploy, AI into many of our products and solutions, including services that support our products and solutions. We are also incorporating AI into the operations of our business. AI presents challenges and risks that could affect our products and solutions, and the operations of our business. For example, AI algorithms may have flaws, and datasets used to train models may be insufficient or contain biased information. The AI that is being incorporated into our products, solutions, and business operation tools may not be successful or beneficial, and instead may cause technical, legal or ethical problems or result in increased costs. The investments that we are making across our business in AI reflect our ongoing efforts to innovate and provide products and services that are useful to our customers, as well as provide efficiencies in our business. Such investments ultimately may not be commercially viable or may not result in an adequate return of capital and we may incur unanticipated liabilities. These efforts could subject us to regulatory risk, legal liability, including under new proposed legislation regulating AI in jurisdictions such as the EU and regulations being considered in other jurisdictions, or brand or reputational harm.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rapid evolution of AI, including potential government regulation of AI, requires us to invest significant resources to develop, test, and maintain AI in our products and services in a manner that meets evolving requirements and expectations. The rules and regulations adopted by policymakers over time may require us to make changes to our business practices. Developing, testing, and deploying AI systems may also increase the cost profile of our offerings due to the nature of the computing costs involved in such systems.</w:t>
      </w:r>
    </w:p>
    <w:p>
      <w:pPr>
        <w:spacing w:after="0" w:line="7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intellectual property ownership and license rights surrounding AI technologies, as well as data protection laws related to the use and development of AI, are currently not fully addressed by courts or regulators. The use or adoption of AI technologies in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spacing w:after="0" w:line="8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b w:val="1"/>
          <w:bCs w:val="1"/>
          <w:i w:val="1"/>
          <w:iCs w:val="1"/>
          <w:color w:val="auto"/>
        </w:rPr>
        <w:t>A network or data security incident may allow unauthorized access to our network or data, harm our reputation, create additional liability, and adversely impact our financial results.</w:t>
      </w:r>
    </w:p>
    <w:p>
      <w:pPr>
        <w:spacing w:after="0" w:line="3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Increasingly, companies are subject to a wide variety of attacks on their networks on an ongoing basis. In addition to traditional computer “hackers,” malicious code (such as viruses and worms), phishing attempts, employee theft or misuse, and denial of service attacks, sophisticated nation-state and nation-state supported actors engage in intrusions and attacks (including advanced persistent threat intrusions and supply chain attacks), and add to the risks to our internal networks, cloud-deployed enterprise and customer-facing environments and the information they store and process. Incidences of cyberattacks and other cybersecurity breaches and incidents have increased and are likely to continue to increase. We and our third-party service providers face security threats and attacks from a variety of sources. Despite our efforts and processes to prevent breaches of our internal networks, systems, and websites, our data, corporate systems, and security measures, as well as those of our third-party service providers, are still vulnerable to computer viruses, break-ins, phishing attacks, ransomware attacks, or other types of attacks from outside parties, or breaches due to employee error, malfeasance, or some combination of these. We cannot guarantee that the measures we have taken to protect our networks, systems, and websites will provide adequate security. Furthermore, as a well-known provider of security solutions, we may be a more attractive target for such attacks. The conflict in Ukraine and associated activities in Ukraine and Russia may increase the risk of cyberattacks on various types of infrastructure and operations, and the United States government has warned companies to be prepared for a significant increase in Russian cyberattacks in response to the Sanctions on Russia.</w:t>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 security breach or incident, or an attack against our service availability suffered by us, or our third-party service providers, could impact our networks or networks secured by our products and subscriptions, creating system disruptions or slowdowns and exploiting security vulnerabilities of our products. In addition, the information stored or otherwise processed on our networks, or those of our third-party service providers, could be accessed, publicly disclosed, altered, lost, stolen, rendered unavailable, or otherwise used or processed without authorization, which could subject us to liability and cause us financial harm. Any actual or perceived breach of security in our systems or networks, or any other actual or perceived data security incident we or our third-party service providers suffer, could result in significant damage to our reputation, negative publicity, loss of channel partners, end-customers, and sales, loss of competitive advantages over our competitors, increased costs to remedy any problems and otherwise respond to any incident, regulatory investigations and enforcement actions, demands, costly litigation, and other liability. In addition, we may incur significant costs and operational consequences of investigating, remediating, eliminating, and putting in place additional tools, devices, and other measures designed to prevent actual or perceived security breaches and other security incidents, as well as the costs to comply with any notification obligations resulting from any security incidents. Any of these negative outcomes could adversely impact the market perception of our products and subscriptions and end-customer and investor confidence in our company and could seriously harm our business or operating results.</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Because our products and subscriptions are complex, they have contained and may contain design or manufacturing defects or errors that are not detected until after their commercial release and deployment by our end-customers. For example, from time to time, certain of our end-customers have reported defects in our products related to performance, scalability, and compatibility. Additionally, defects or vulnerabilities may cause our products or subscriptions to be vulnerable to security attacks, cause them to fail to help secure networks, or temporarily interrupt end-customers’ networking traffic. For example, in April 2024, we became aware of a command injection vulnerability in the GlobalProtect feature of certain versions of our PAN-OS software. To remediate the matter, we published a security advisory to advise customers, provided software updates for affected PAN-OS versions, and are actively engaged in customer outreach, support and remediation efforts for potentially impacted customers. Because the techniques used by computer hackers to access or sabotage networks change frequently and generally are not recognized until launched against a target, we may be unable to anticipate these techniques and provide a solution in time to protect our end-customers’ networks. In addition, due to the Russian invasion of Ukraine, there could be a significant increase in Russian cyberattacks against our customers, resulting in an increased risk of a security breach of our end-customers’ systems. Furthermore, defects or errors in our subscription updates or our products could result in a failure to effectively update end-customers’ hardware and cloud-based products. Our data centers and networks may experience technical failures and downtime or may fail to meet the increased requirements of a growing installed end-customer base, any of which could temporarily or permanently expose our end-customers’ networks, leaving their networks unprotected against the latest security threats. Moreover, our products must interoperate with our end-customers’ existing infrastructure, which often have varied specifications, utilize multiple protocol standards, deploy products from multiple vendors, and contain multiple generations of products that have been added over time. As a result, when problems occur in a network, it may be difficult to identify the sources of these problems.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of any such problem in our products and subscriptions, whether real or perceived, could result in:</w:t>
      </w:r>
    </w:p>
    <w:p>
      <w:pPr>
        <w:spacing w:after="0" w:line="127" w:lineRule="exact"/>
        <w:rPr>
          <w:sz w:val="20"/>
          <w:szCs w:val="20"/>
          <w:color w:val="auto"/>
        </w:rPr>
      </w:pPr>
    </w:p>
    <w:p>
      <w:pPr>
        <w:ind w:left="200" w:right="420" w:hanging="192"/>
        <w:spacing w:after="0" w:line="286" w:lineRule="auto"/>
        <w:tabs>
          <w:tab w:leader="none" w:pos="184"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expenditure of significant financial and product development resources in efforts to analyze, correct, eliminate, or work-around errors or defects or to address and eliminate vulnerabilities;</w:t>
      </w:r>
    </w:p>
    <w:p>
      <w:pPr>
        <w:spacing w:after="0" w:line="20"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loss of existing or potential end-customers or channel partners;</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delayed or lost revenue;</w:t>
      </w:r>
    </w:p>
    <w:p>
      <w:pPr>
        <w:spacing w:after="0" w:line="72"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delay or failure to attain market acceptance;</w:t>
      </w:r>
    </w:p>
    <w:p>
      <w:pPr>
        <w:spacing w:after="0" w:line="86" w:lineRule="exact"/>
        <w:rPr>
          <w:rFonts w:ascii="Arial" w:cs="Arial" w:eastAsia="Arial" w:hAnsi="Arial"/>
          <w:sz w:val="16"/>
          <w:szCs w:val="16"/>
          <w:b w:val="1"/>
          <w:bCs w:val="1"/>
          <w:color w:val="E64B38"/>
        </w:rPr>
      </w:pPr>
    </w:p>
    <w:p>
      <w:pPr>
        <w:ind w:left="200" w:right="40" w:hanging="192"/>
        <w:spacing w:after="0" w:line="286" w:lineRule="auto"/>
        <w:tabs>
          <w:tab w:leader="none" w:pos="184"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an increase in warranty claims compared with our historical experience, or an increased cost of servicing warranty claims, either of which would adversely affect our gross margins; and</w:t>
      </w:r>
    </w:p>
    <w:p>
      <w:pPr>
        <w:spacing w:after="0" w:line="20"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4"/>
        </w:numPr>
        <w:rPr>
          <w:rFonts w:ascii="Arial" w:cs="Arial" w:eastAsia="Arial" w:hAnsi="Arial"/>
          <w:sz w:val="16"/>
          <w:szCs w:val="16"/>
          <w:b w:val="1"/>
          <w:bCs w:val="1"/>
          <w:color w:val="E64B38"/>
        </w:rPr>
      </w:pPr>
      <w:r>
        <w:rPr>
          <w:rFonts w:ascii="Arial" w:cs="Arial" w:eastAsia="Arial" w:hAnsi="Arial"/>
          <w:sz w:val="16"/>
          <w:szCs w:val="16"/>
          <w:color w:val="auto"/>
        </w:rPr>
        <w:t>litigation, regulatory inquiries, investigations, or other proceedings, each of which may be costly and harm our reputation.</w:t>
      </w:r>
    </w:p>
    <w:p>
      <w:pPr>
        <w:spacing w:after="0" w:line="127" w:lineRule="exact"/>
        <w:rPr>
          <w:sz w:val="20"/>
          <w:szCs w:val="20"/>
          <w:color w:val="auto"/>
        </w:rPr>
      </w:pPr>
    </w:p>
    <w:p>
      <w:pPr>
        <w:jc w:val="both"/>
        <w:ind w:right="600"/>
        <w:spacing w:after="0" w:line="266" w:lineRule="auto"/>
        <w:rPr>
          <w:sz w:val="20"/>
          <w:szCs w:val="20"/>
          <w:color w:val="auto"/>
        </w:rPr>
      </w:pPr>
      <w:r>
        <w:rPr>
          <w:rFonts w:ascii="Arial" w:cs="Arial" w:eastAsia="Arial" w:hAnsi="Arial"/>
          <w:sz w:val="16"/>
          <w:szCs w:val="16"/>
          <w:color w:val="auto"/>
        </w:rPr>
        <w:t>Further, our products and subscriptions may be misused by end-customers or third parties that obtain access to our products and subscriptions. For example, our products and subscriptions could be used to censor private access to certain information on the Internet. Such use of our products and subscriptions for censorship could result in negative press coverage and negatively affect our reputation.</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limitation of liability provisions in our standard terms and conditions of sale may not fully or effectively protect us from claims as a result of federal, state, or local laws or ordinances, or unfavorable judicial decisions in the United States or other countries. The sale and support of our products and subscriptions also entails the risk of product liability claims. Although we may be indemnified by our third-party manufacturers for product liability claims arising out of manufacturing defects, because we control the design of our products and subscriptions, we may not be indemnified for product liability claims arising out of design defects. While we maintain insurance coverage for certain types of losses, our insurance coverage may not adequately cover any claim asserted against us, if at all. In addition, even claims that ultimately are unsuccessful could result in our expenditure of funds in litigation, divert management’s time and other resources, and harm our reputation.</w:t>
      </w:r>
    </w:p>
    <w:p>
      <w:pPr>
        <w:spacing w:after="0" w:line="6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addition, our classifications of application type, virus, spyware, vulnerability exploits, data, or URL categories may falsely detect, report, and act on applications, content, or threats that do not actually exist. This risk is heightened by the inclusion of a “heuristics” feature in our products and subscriptions, which attempts to identify applications and other threats not based on any known signatures but based on characteristics or anomalies which indicate that a particular item may be a threat. These false positives may impair the perceived reliability of our products and subscriptions and may therefore adversely impact market acceptance of our products and subscriptions and could result in damage to our reputation, negative publicity, loss of channel partners, end-customers and sales, increased costs to remedy any problem, and costly litigation.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b w:val="1"/>
          <w:bCs w:val="1"/>
          <w:i w:val="1"/>
          <w:iCs w:val="1"/>
          <w:color w:val="auto"/>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spacing w:after="0" w:line="4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After our products and subscriptions are deployed within our end-customers’ networks, our end-customers depend on our technical support services, as well as the support of our channel partners, to resolve any issues relating to our products. Many larger enterprise, service provider, and government entity end-customers have more complex networks and require higher levels of support than smaller end-customers. If our channel partners do not effectively provide support to the satisfaction of our end-customers, we may be required to provide direct support to such end-customers, which would require us to hire additional personnel and to invest in additional resources. If we are not able to hire such resources fast enough to keep up with unexpected demand, support to our end-customers will be negatively impacted, and our end-customers’ satisfaction with our products and subscriptions will be adversely affected. Additionally, to the extent that we may need to rely on our sales engineers to provide post-sales support while we are ramping up our support resources, our sales productivity will be negatively impacted, which would harm our revenues. Accordingly, our failure, or our channel partners’ failure, to provide and maintain high-quality support services could have a material adverse effect on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INTELLECTUAL PROPERTY AND TECHNOLOGY LICENSING</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Claims by others that we infringe their intellectual property rights could harm our business.</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Companies in the enterprise security industry own large numbers of patents, copyrights, trademarks, domain names, and trade secrets and frequently enter into litigation based on allegations of infringement, misappropriation, or other violations of intellectual property rights. In addition, non-practicing entities also frequently bring claims of infringement of intellectual property rights. Third parties are asserting, have asserted, and may in the future assert claims of infringement of intellectual property rights against us. For example, on January 31, 2024, in the Centripetal Networks, Inc. lawsuit against us, a jury returned a verdict of non-willful infringement with a lump sum amount of $151.5 million, plus statutory interest, for which we have accrued $180.5 million for the verdict amount and estimated interest as of April 30, 2024. In addition, we have been sued for patent infringement by Finjan, Inc. and Lionra Technologies, with trial dates not currently set.</w:t>
      </w:r>
    </w:p>
    <w:p>
      <w:pPr>
        <w:spacing w:after="0" w:line="66"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products, subscriptions, and services. As we expand our footprint, both in our platforms, products, subscriptions, and services and geographically, more overlaps occur and we may face more infringement claims both in the United States and abroad.</w:t>
      </w:r>
    </w:p>
    <w:p>
      <w:pPr>
        <w:spacing w:after="0" w:line="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While we have been increasing the size of our patent portfolio, our competitors and others may now and in the future have significantly larger and more mature patent portfolios than we have. In addition, litigation has involved and will likely continue to involve patent-holding companies or other adverse patent owners who have no relevant product revenue and against whom our own patents may therefore provide little or no deterrence or protection. In addition, we have not registered our trademarks in all of our geographic markets and failure to secure those registrations could adversely affect our ability to enforce and defend our trademark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there is a risk that some of our confidential information could be compromised by disclosure during this type of litigation. A successful claimant could secure a judgment, or we may agree to a settlement that prevents us from distributing certain products or performing certain services or that requires us to pay substantial damages, royalties, or other fees. Any of these events could seriously harm our business, financial condition, and operating results.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Our proprietary rights may be difficult to enforce or protect, which could enable others to copy or use aspects of our products or subscriptions without compensating us.</w:t>
      </w:r>
    </w:p>
    <w:p>
      <w:pPr>
        <w:spacing w:after="0" w:line="4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spacing w:after="0" w:line="8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Despite our efforts to protect our proprietary rights, unauthorized parties may attempt to copy aspects of our products or subscriptions or obtain and use information that we regard as proprietary. We generally enter into confidentiality or license agreements with our employees, consultants, vendors, and end-customers, and generally limit access to and distribution of our proprietary information. However, we cannot be certain that we have entered into such agreements with all parties who may have or have had access to our confidential information or that the agreements we have entered into will not be breached. We cannot guarantee that any of the measures we have taken will prevent misappropriation of our technology. Because we may be an attractive target for computer hackers, we may have a greater risk of unauthorized access to, and misappropriation of, our proprietary information.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we may need to take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Attempts to enforce our rights against third parties could also provoke these third parties to assert their own intellectual property or other rights against us or result in a holding that invalidates or narrows the scope of our rights, in whole or in part.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 Any of these events would have a material adverse effect on our business, financial condition, and operating results.</w:t>
      </w:r>
    </w:p>
    <w:p>
      <w:pPr>
        <w:spacing w:after="0" w:line="9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Our use of open source software in our products and subscriptions could negatively affect our ability to sell our products and subscriptions and subject us to possible litigation.</w:t>
      </w:r>
    </w:p>
    <w:p>
      <w:pPr>
        <w:spacing w:after="0" w:line="3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spacing w:after="0" w:line="6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Although we monitor our use of open source software to avoid subjecting our products and subscriptions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operating results, and financial condition.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our processes for controlling our use of open source software in our products and subscriptions will be effective.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technology from third parties, and our inability to maintain those licenses could harm our business.</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We may also be subject to additional fees or be required to obtain new licenses if any of our licensors allege that we have not properly paid for such licenses or that we have improperly used the technologies under such licenses, and such licenses may not be available on terms acceptable to us or at all. If we are unable to continue to license any of this technology because of intellectual property infringement claims brought by third parties against our licensors or against us, or claims against us by our licensors,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OPERATIONS</w:t>
      </w:r>
    </w:p>
    <w:p>
      <w:pPr>
        <w:spacing w:after="0" w:line="133" w:lineRule="exact"/>
        <w:rPr>
          <w:sz w:val="20"/>
          <w:szCs w:val="20"/>
          <w:color w:val="auto"/>
        </w:rPr>
      </w:pPr>
    </w:p>
    <w:p>
      <w:pPr>
        <w:ind w:right="380"/>
        <w:spacing w:after="0" w:line="279" w:lineRule="auto"/>
        <w:rPr>
          <w:sz w:val="20"/>
          <w:szCs w:val="20"/>
          <w:color w:val="auto"/>
        </w:rPr>
      </w:pPr>
      <w:r>
        <w:rPr>
          <w:rFonts w:ascii="Arial" w:cs="Arial" w:eastAsia="Arial" w:hAnsi="Arial"/>
          <w:sz w:val="16"/>
          <w:szCs w:val="16"/>
          <w:b w:val="1"/>
          <w:bCs w:val="1"/>
          <w:i w:val="1"/>
          <w:iCs w:val="1"/>
          <w:color w:val="auto"/>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spacing w:after="0" w:line="4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depend on manufacturing partners, primarily our EMS provider, Flex, to manufacture our hardware product lines. Our reliance on these manufacturing partners reduces our control over the manufacturing process and exposes us to risks, including reduced control over quality assurance, product costs, product supply, timing, and transportation risk. Our hardware products are manufactured by our manufacturing partners at facilities located primarily in the United States. Some of the components in our products are sourced either through Flex or directly by us from component suppliers outside the United States. The portion of our hardware products that are sourced outside the United States may subject us to geopolitical risks, additional logistical risks or risks associated with complying with local rules and regulations in foreign countries.</w:t>
      </w:r>
    </w:p>
    <w:p>
      <w:pPr>
        <w:spacing w:after="0" w:line="82"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Significant changes to existing international trade agreements could lead to sourcing or logistics disruption resulting from import delays or the imposition of increased tariffs on our sourcing partners. For example, the United States and Chinese governments have each enacted, and discussed additional, import tariffs. Some components that we import for final manufacturing in the United States have been impacted by these tariffs. As a result, our costs have increased and we have raised, and may be required to further raise, prices on our hardware products.</w:t>
      </w:r>
    </w:p>
    <w:p>
      <w:pPr>
        <w:spacing w:after="0" w:line="6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manufacturing partners typically fulfill our supply requirements on the basis of individual purchase orders. We do not have long-term contracts with these manufacturers that guarantee capacity, the continuation of particular pricing terms, or the extension of credit limits. Accordingly, they are not obligated to continue to fulfill our supply requirements and the prices we pay for manufacturing services could be increased on short notice. Our contract with Flex permits them to terminate the agreement for their convenience, subject to prior notice requirements. If we are required to change manufacturing partners, our ability to meet our scheduled product deliveries to our end-customers could be adversely affected, which could cause the loss of sales to existing or potential end-customers, delayed revenue or an increase in our costs which could adversely affect our gross margins. Any production interruptions for any reason, such as a natural disaster, epidemic or pandemic, capacity shortages, or quality problems at one of our manufacturing partners would negatively affect sales of our product lines manufactured by that manufacturing partner and adversely affect our business and operating results.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Managing the supply of our hardware products and product components is complex. Insufficient supply and inventory would result in lost sales opportunities or delayed revenue, while excess inventory would harm our gross margins.</w:t>
      </w:r>
    </w:p>
    <w:p>
      <w:pPr>
        <w:spacing w:after="0" w:line="47"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Our manufacturing partners procure components and build our hardware products based on our forecasts, and we generally do not hold inventory for a prolonged period of time. These forecasts are based on estimates of future demand for our products, which are in turn based on historical trends and analyses from our sales and product management organizations, adjusted for overall market conditions. In order to reduce manufacturing lead times and plan for adequate component supply, from time to time we may issue forecasts for components and products that are non-cancelable and non-returnable.</w:t>
      </w:r>
    </w:p>
    <w:p>
      <w:pPr>
        <w:spacing w:after="0" w:line="6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inventory management systems and related supply chain visibility tools may be inadequate to enable us to forecast accurately and effectively manage supply of our hardware products and product components. If we ultimately determine that we have excess supply, we may have to reduce our prices and write-down inventory, which in turn could result in lower gross margins. If our actual component usage and product demand are lower than the forecast we provide to our manufacturing partners, we accrue for losses on manufacturing commitments in excess of forecasted demand. Alternatively, insufficient supply levels may lead to shortages that result in delayed hardware product revenue or loss of sales opportunities altogether as potential end-customers turn to competitors’ products that are readily available. If we are unable to effectively manage our supply and inventory, our operating results could be adversely affected.</w:t>
      </w:r>
    </w:p>
    <w:p>
      <w:pPr>
        <w:spacing w:after="0" w:line="268"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b w:val="1"/>
          <w:bCs w:val="1"/>
          <w:i w:val="1"/>
          <w:iCs w:val="1"/>
          <w:color w:val="auto"/>
        </w:rPr>
        <w:t>Because some of the key components in our hardware products come from limited sources of supply, we are susceptible to supply shortages or supply changes, which, in certain cases, have disrupted or delayed our scheduled product deliveries to our end-customers, increased our costs and may result in the loss of sales and end-customers.</w:t>
      </w:r>
    </w:p>
    <w:p>
      <w:pPr>
        <w:spacing w:after="0" w:line="4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hardware products rely on key components, including integrated circuit components, which our manufacturing partners purchase on our behalf from a limited number of component suppliers, including sole source providers. The manufacturing operations of some of our component suppliers are geographically concentrated in Asia and elsewhere, which makes our supply chain vulnerable to regional disruptions, such as natural disasters, fire, political instability, civil unrest, power outages, or health risks. In the past, we experienced supply chain disruption and have incurred increased costs resulting from inflationary pressures. We are also monitoring the tensions between China and Taiwan, and between the U.S. and China, which could have an adverse impact on our business or results of operations in future periods.</w:t>
      </w:r>
    </w:p>
    <w:p>
      <w:pPr>
        <w:spacing w:after="0" w:line="8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Further, we do not have volume purchase contracts with any of our component suppliers, and they could cease selling to us at any time. If we are unable to obtain a sufficient quantity of these components in a timely manner for any reason, sales of our hardware products could be delayed or halted, or we could be forced to expedite shipment of such components or our hardware products at dramatically increased costs. Our component suppliers also change their selling prices frequently in response to market trends, including industry-wide increases in demand. Because we do not have, for the most part, volume purchase contracts with our component suppliers, we are susceptible to price fluctuations related to raw materials and components and may not be able to adjust our prices accordingly. Additionally, poor quality in any of the sole-sourced components in our products could result in lost sales or sales opportunities.</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If we are unable to obtain a sufficient volume of the necessary components for our hardware products on commercially reasonable terms or the quality of the components do not meet our requirements, we could also be forced to redesign our products and qualify new components from alternate component suppliers. The resulting stoppage or delay in selling our hardware products and the expense of redesigning our hardware products would result in lost sales opportunities and damage to customer relationships, which would adversely affect our business and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retain, and motivate our key technical, sales, and management personnel, our business could suffer.</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future success depends, in part, on our ability to continue to attract, retain, and motivate the members of our management team and other key employees. For example, we are substantially dependent on the continued service of our engineering personnel because of the complexity of our offerings. Competition for highly skilled personnel, particularly in engineering, including in the areas of AI and machine learning, is often intense, especially in the San Francisco Bay Area, where we have a substantial presence and need for such personnel. In addition, the industry in which we operate generally experiences high employee attrition. Our future performance depends on the continuing services and contributions of our senior management to execute on our business plan and to identify and pursue new opportunities and product innovations. If we are unable to hire, integrate, train, or retain the qualified and highly skilled personnel required to fulfill our current or future needs, our business, financial condition, and operating results could be harmed.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Further, we believe that a critical contributor to our success and our ability to retain highly skilled personnel has been our corporate culture, which we believe fosters innovation, inclusion, teamwork, passion for end-customers, focus on execution, and the facilitation of critical knowledge transfer and knowledge sharing. As we grow and change, we may find it difficult to maintain these important aspects of our corporate culture. While we are taking steps to develop a more inclusive and diverse workforce, there is no guarantee that we will be able to do so. Any failure to preserve our culture as we grow could limit our ability to innovate and could negatively affect our ability to retain and recruit personnel, continue to perform at current levels or execute on our business strategy.</w:t>
      </w:r>
    </w:p>
    <w:p>
      <w:pPr>
        <w:spacing w:after="0" w:line="6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We generate a significant amount of revenue from sales to distributors, resellers, and end-customers outside of the United States, and we are therefore subject to a number of risks associated with international sales and operations.</w:t>
      </w:r>
    </w:p>
    <w:p>
      <w:pPr>
        <w:spacing w:after="0" w:line="47"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Our ability to grow our business and our future success will depend to a significant extent on our ability to expand our operations and customer base worldwide. Many of our customers, resellers, partners, suppliers, and manufacturers operate around the world. Operating in a global marketplace, we are subject to risks associated with having an international reach and compliance and regulatory requirements. We may experience difficulties in attracting, managing, and retaining an international staff, and we may not be able to recruit and maintain successful strategic distributor relationships internationally. Business practices in the international markets that we serve may differ from those in the United States and may require us in the future to include terms other than our standard terms related to payment, warranties, or performance obligations in end-customer contracts.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Additionally, our international sales and operations are subject to a number of risks, including the following:</w:t>
      </w:r>
    </w:p>
    <w:p>
      <w:pPr>
        <w:spacing w:after="0" w:line="113" w:lineRule="exact"/>
        <w:rPr>
          <w:sz w:val="20"/>
          <w:szCs w:val="20"/>
          <w:color w:val="auto"/>
        </w:rPr>
      </w:pPr>
    </w:p>
    <w:p>
      <w:pPr>
        <w:ind w:left="200" w:right="200" w:hanging="192"/>
        <w:spacing w:after="0" w:line="275" w:lineRule="auto"/>
        <w:tabs>
          <w:tab w:leader="none" w:pos="184"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political, economic, and social uncertainty around the world, health risks such as epidemics and pandemics like COVID-19, macroeconomic challenges, terrorist activities, Russia’s invasion of Ukraine, tensions between China and Taiwan, the hostilities in Israel and the surrounding region, and continued hostilities in the Middle East;</w:t>
      </w:r>
    </w:p>
    <w:p>
      <w:pPr>
        <w:spacing w:after="0" w:line="29" w:lineRule="exact"/>
        <w:rPr>
          <w:rFonts w:ascii="Arial" w:cs="Arial" w:eastAsia="Arial" w:hAnsi="Arial"/>
          <w:sz w:val="16"/>
          <w:szCs w:val="16"/>
          <w:b w:val="1"/>
          <w:bCs w:val="1"/>
          <w:color w:val="E64B38"/>
        </w:rPr>
      </w:pPr>
    </w:p>
    <w:p>
      <w:pPr>
        <w:ind w:left="200" w:hanging="192"/>
        <w:spacing w:after="0" w:line="265" w:lineRule="auto"/>
        <w:tabs>
          <w:tab w:leader="none" w:pos="184"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unexpected changes in, or the application of, foreign and domestic laws and regulations (including intellectual property rights protections), regulatory practices, trade restrictions, and foreign legal requirements, including those applicable to the importation, certification, and localization of our products, tariffs, and tax laws and treaties, including regulatory and trade policy changes adopted by the current administration, such as the Sanctions on Russia, or foreign countries in response to regulatory changes adopted by the current administration; and</w:t>
      </w:r>
    </w:p>
    <w:p>
      <w:pPr>
        <w:spacing w:after="0" w:line="37" w:lineRule="exact"/>
        <w:rPr>
          <w:rFonts w:ascii="Arial" w:cs="Arial" w:eastAsia="Arial" w:hAnsi="Arial"/>
          <w:sz w:val="16"/>
          <w:szCs w:val="16"/>
          <w:b w:val="1"/>
          <w:bCs w:val="1"/>
          <w:color w:val="E64B38"/>
        </w:rPr>
      </w:pPr>
    </w:p>
    <w:p>
      <w:pPr>
        <w:ind w:left="200" w:right="260" w:hanging="192"/>
        <w:spacing w:after="0" w:line="286" w:lineRule="auto"/>
        <w:tabs>
          <w:tab w:leader="none" w:pos="184" w:val="left"/>
        </w:tabs>
        <w:numPr>
          <w:ilvl w:val="0"/>
          <w:numId w:val="25"/>
        </w:numPr>
        <w:rPr>
          <w:rFonts w:ascii="Arial" w:cs="Arial" w:eastAsia="Arial" w:hAnsi="Arial"/>
          <w:sz w:val="16"/>
          <w:szCs w:val="16"/>
          <w:b w:val="1"/>
          <w:bCs w:val="1"/>
          <w:color w:val="E64B38"/>
        </w:rPr>
      </w:pPr>
      <w:r>
        <w:rPr>
          <w:rFonts w:ascii="Arial" w:cs="Arial" w:eastAsia="Arial" w:hAnsi="Arial"/>
          <w:sz w:val="16"/>
          <w:szCs w:val="16"/>
          <w:color w:val="auto"/>
        </w:rPr>
        <w:t>non-compliance with U.S. and foreign laws, including antitrust regulations, anti-corruption laws, such as the U.S. Foreign Corrupt Practices Act and the U.K. Bribery Act, U.S. or foreign sanctions regimes and export or import control laws, and any trade regulations ensuring fair trade practices.</w:t>
      </w:r>
    </w:p>
    <w:p>
      <w:pPr>
        <w:spacing w:after="0" w:line="6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These and other factors could harm our future international revenues and, consequently, materially impact our business, operating results, and financial condition.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foreign currency exchange rates, which could negatively affect our financial condition and operating results.</w:t>
      </w:r>
    </w:p>
    <w:p>
      <w:pPr>
        <w:spacing w:after="0" w:line="12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in the event of a strengthening of the U.S. dollar against foreign currencies in which we conduct business, the cost of our products to our end-customers outside of the United States would increase, which could adversely affect our financial condition and operating results. In addition, increased international sales in the future, including through our channel partners and other partnerships, may result in foreign currency denominated sales, increasing our foreign currency risk.</w:t>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operating expenses incurred outside the United States and denominated in foreign currencies are generally increasing and are subject to fluctuations due to changes in foreign currency exchange rates. If we are not able to successfully hedge against the risks associated with foreign currency fluctuations, our financial condition and operating results could be adversely affected. We have entered into forward contracts in an effort to reduce our foreign currency exchange exposure related to our foreign currency denominated expenditures. As of April 30, 2024, the total notional amount of our outstanding foreign currency forward contracts was $1.3 billion. For more information on our hedging transactions, refer to Note 6. Derivative Instruments in Part I, Item 1 of this Quarterly Report on Form 10-Q.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associated with having operations and employees located in Israel.</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have business operations in Israel, and intend to continue growing our presence in Israel. Our operations in Israel could be disrupted by political instability, civil unrest, terrorist attacks, acts of violence, acts of war, or other military actions, including the hostilities in Israel and the surrounding region. The future of peace efforts between Israel and its Arab neighbors remains uncertain. The effects of hostilities and violence on the Israeli economy and our operations in Israel are unclear, and we cannot predict the effect on us of further increases in these hostilities or future armed conflict, political instability, or violence in the region. Current or future tensions and conflicts in the Middle East could adversely affect our business, operating results,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In addition, many of our employees in Israel are obligated to perform annual reserve duty in the Israeli military and are subject to being called for active duty under emergency circumstances, which has occurred as a result of hostilities in Israel and the surrounding region. We cannot predict the full impact of these conditions on us in the future, particularly if emergency circumstances or an escalation in the political situation occurs. If many of our employees in Israel are called for active duty for a significant period of time, our operations and our business could be disrupted and may not be able to function at full capacity. Any disruption in our operations in Israel could adversely affect our business.</w:t>
      </w:r>
    </w:p>
    <w:p>
      <w:pPr>
        <w:spacing w:after="0" w:line="66"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requirements, U.S. customs regulations, U.S. economic sanctions, or other laws,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w:t>
      </w:r>
    </w:p>
    <w:p>
      <w:pPr>
        <w:spacing w:after="0" w:line="8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such as the Sanctions on Russia,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PRIVACY AND DATA PROTECTION</w:t>
      </w:r>
    </w:p>
    <w:p>
      <w:pPr>
        <w:spacing w:after="0" w:line="133"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b w:val="1"/>
          <w:bCs w:val="1"/>
          <w:i w:val="1"/>
          <w:iCs w:val="1"/>
          <w:color w:val="auto"/>
        </w:rPr>
        <w:t>We may incur increased costs to comply with privacy and data protection laws and, if we fail to comply, we could be subject to government enforcement actions, private litigation and adverse publicity.</w:t>
      </w:r>
    </w:p>
    <w:p>
      <w:pPr>
        <w:spacing w:after="0" w:line="3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 wide variety of laws and regulations apply to the collection, use, retention, protection, disclosure, transfer, and other processing of personal data in jurisdictions where we and our customers operate. Compliance with these laws and regulations is difficult and costly. These laws and regulations are also subject to frequent, inconsistent and unexpected changes, new, modified or additional laws or regulations may be adopted, and rulings that invalidate prior laws, regulations, or interpretations of such laws or regulations, may be issued. For example, we are subject to the E.U. General Data Protection Regulation (“E.U. GDPR”) and the U.K. General Data Protection Regulation (“U.K. GDPR,” and collectively the “GDPR”), both of which impose stringent data protection requirements, provide for costly penalties for noncompliance (up to the greater of (a) €20 million under the “E.U. GDPR” or £17.5 million under the “U.K. GDPR,” and (b) 4% of annual worldwide turnover), and confer the right upon data subjects and consumer associations to lodge complaints with supervisory authorities, seek judicial remedies, and obtain compensation for damages resulting from violations.</w:t>
      </w:r>
    </w:p>
    <w:p>
      <w:pPr>
        <w:spacing w:after="0" w:line="8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GDPR requires, among other things, that personal data be transferred outside of the E.U. (or, in the case of the U.K. GDPR, the U.K.) to the United States and other jurisdictions only where adequate safeguards are implemented or a derogation applies. In practice, we rely on standard contractual clauses approved under the GDPR to carry out such transfers and to receive personal data subject to the GDPR (directly or indirectly) in the United States. In addition, we self-certified to the EU-U.S. Data Privacy Framework (“EU-U.S. DPF”), which has been approved for transfers of personal data subject to the GDPR to the United States. The EU-U.S. DPF has been recognized as adequate under EU law to allow transfers of personal data from the EU to companies in the U.S. that have self-certified to the framework. However, the EU-U.S. DPF may be subject to legal challenge, which could cause the legal requirements for data transfers from the EU to be uncertain.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Among other effects, we may experience additional costs associated with increased compliance burdens, reduced demand for our offerings from current or prospective customers in the European Economic Area (“EEA”), Switzerland, and the U.K. (collectively, “Europe”) to use our products, on account of the risks identified in the Schrems II decision, and we may find it necessary or desirable to make further changes to our processing of personal data of European residents. The regulatory environment applicable to the handling of European residents’ personal data, and our actions taken in response, may cause us to assume additional liabilities or incur additional costs. Moreover, much like with Schrems II, we anticipate future legal challenges to the approved data transfer mechanisms between Europe and the United States, including a challenge to the EU-U.S. DPF. Such legal challenges could result in additional legal and regulatory risk, compliance costs, and in our business, operating results, and financial condition being harmed.</w:t>
      </w:r>
    </w:p>
    <w:p>
      <w:pPr>
        <w:spacing w:after="0" w:line="8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are also subject to the California Consumer Privacy Act, as amended by the California Privacy Rights Act (collectively, the “CCPA”). The CCPA requires, among other things, covered companies to provide enhanced disclosures to California consumers and to afford such consumers certain rights regarding their personal data, including the right to opt out of data sales for targeted advertising, and creates a private right of action to individuals affected by a data breach, if the breach was caused by a lack of reasonable security. The effects of the CCPA have been significant, requiring us to modify our data processing practices and policies and to incur substantial costs and expenses for compliance. Moreover, additional state privacy laws have been passed and will require potentially substantial efforts to obtain compliance. These include laws enacted in at least sixteen states, which all go into effect by January 1, 2026.</w:t>
      </w:r>
    </w:p>
    <w:p>
      <w:pPr>
        <w:spacing w:after="0" w:line="68"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We may also from time to time be subject to obligations relating to personal data by contract, or face assertions that we are subject to self-regulatory obligations or industry standards. Additionally, the Federal Trade Commission and many state attorneys general are more regularly bringing enforcement actions in connection with federal and state consumer protection laws for false or deceptive acts or practices in relation to the online collection, use, dissemination, and security of personal data. Internationally, data localization laws may mandate that personal data collected in a foreign country be processed and stored within that country.</w:t>
      </w:r>
    </w:p>
    <w:p>
      <w:pPr>
        <w:spacing w:after="0" w:line="64"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We and our customers may face risk of enforcement actions by regulators or data protection authorities, private litigation and adverse publicity including reputational damage and loss of customer confidence for alleged violations of any of the foregoing obligations. Any such claims could result in substantial costs, ongoing remedial, audit and reporting obligations, and diversion of resources, and distract management and technical personnel. These potential liabilities and enforcement actions could also have an overall negative effect on our business, operating results, and financial condition. The amount and scope of insurance we maintain may not cover all types of claims that may arise.</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New legislation affecting the scope of personal data and personal information where we or our customers and partners have operations, especially relating to classification of Internet Protocol (“IP”) addresses, machine identification, AI, location data, and other information, may limit or inhibit our ability to operate or expand our business, including limiting strategic partnerships that may involve the sharing or uses of data, and may require significant expenditures and efforts in order to comply. Notably, public perception of potential privacy, data protection, or information security concerns—whether or not valid—may harm our reputation and inhibit adoption of our products and subscriptions by current and future end-customers. Each of these laws and regulations, and any changes to these laws and regulations, or new laws and regulations, could impose significant limitations, or require changes to our business model or practices or growth strategy, which may increase our compliance expenses and make our business more costly or less efficient to conduct.</w:t>
      </w:r>
    </w:p>
    <w:p>
      <w:pPr>
        <w:spacing w:after="0" w:line="6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Tax, Accounting, Compliance, and Regulatory Risks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exposure to greater than anticipated tax liabilities.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various other jurisdictions, are subject to interpretation and certain jurisdictions may aggressively interpret their laws, regulations, and policies, including in an effort to raise additional tax revenue. The tax authorities of the jurisdictions in which we operate may challenge our methodologies for valuing developed or acquired technology or determining the proper charges for intercompany arrangements, which could increase our worldwide effective tax rate and harm our financial position and operating results. Some tax authorities of jurisdictions other than the United States may seek to assert extraterritorial taxing rights on our transactions or operations. It is possible that domestic or international tax authorities may subject us to tax examinations, or audits, and such tax authorities may disagree with certain positions we have taken, and any adverse outcome of such an examination, review or audit could result in additional tax liabilities and penalties and otherwise have a negative effect on our financial position and operating results. Further, the determination of our worldwide provision for or benefit from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our consolidated financial statements and may materially affect our financial results in the period or periods for which such determination is made.</w:t>
      </w:r>
    </w:p>
    <w:p>
      <w:pPr>
        <w:spacing w:after="0" w:line="28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addition, our future income tax obligations could be adversely affected by changes in, or interpretations of, tax laws, regulations, policies, or decisions in the United States or in the other jurisdictions in which we operate.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4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amounts reported on our condensed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more information, refer to the section entitled “Critical Accounting Estimates” in “Management’s Discussion and Analysis of Financial Condition and Results of Operations” in Part I, Item 2 of this Quarterly Report on Form 10-Q. In general, if our estimates, judgments or assumptions relating to our critical accounting policies change or if actual circumstances differ from our estimates, judgments or assumptions, our operating results may be adversely affected and could fall below our publicly announced guidance or the expectations of securities analysts and investors, resulting in a decline in the market price of our common stock.</w:t>
      </w:r>
    </w:p>
    <w:p>
      <w:pPr>
        <w:spacing w:after="0" w:line="85" w:lineRule="exact"/>
        <w:rPr>
          <w:sz w:val="20"/>
          <w:szCs w:val="20"/>
          <w:color w:val="auto"/>
        </w:rPr>
      </w:pPr>
    </w:p>
    <w:p>
      <w:pPr>
        <w:jc w:val="both"/>
        <w:ind w:right="460"/>
        <w:spacing w:after="0" w:line="270" w:lineRule="auto"/>
        <w:rPr>
          <w:sz w:val="20"/>
          <w:szCs w:val="20"/>
          <w:color w:val="auto"/>
        </w:rPr>
      </w:pPr>
      <w:r>
        <w:rPr>
          <w:rFonts w:ascii="Arial" w:cs="Arial" w:eastAsia="Arial" w:hAnsi="Arial"/>
          <w:sz w:val="16"/>
          <w:szCs w:val="16"/>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spacing w:after="0" w:line="6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If we are unable to assert that our internal controls are effective, our independent registered public accounting firm may not be able to formally attest to the effectiveness of our internal control over financial reporting. If, in the future, our chief executive officer, chief financial officer, or independent registered public accounting firm determines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pay fines, settlements, or judgments, causing investor perceptions to be adversely affected and potentially resulting in a decline in the market price of our stock.</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and/or business could be negatively impacted by ESG matters and/or our reporting of such matters.</w:t>
      </w:r>
    </w:p>
    <w:p>
      <w:pPr>
        <w:spacing w:after="0" w:line="12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ESG Report, on our website, in our filings with the SEC,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governmental laws and regulations could harm our business.</w:t>
      </w:r>
    </w:p>
    <w:p>
      <w:pPr>
        <w:spacing w:after="0" w:line="11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employment and labor laws, workplace safety, product safety, environmental laws, consumer protection laws, privacy, data security, and data-protection laws, anti-bribery laws (including the U.S. Foreign Corrupt Practices Act and the U.K. Anti-Bribery Act), import/export controls, federal securities laws, and tax laws and regulations. These laws and regulations may also impact our innovation and business drivers in developing new and emerging technologies (e.g., AI and machine learning).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or injunctions. If any governmental sanctions are imposed, or if we do not prevail in any possible civil or criminal litigation resulting from any alleged noncompliance, our business, operating results, and financial condition could be materially adversely affected. In addition, responding to any action will likely result in a significant diversion of management’s attention and resources and an increase in professional fees. Enforcement actions, litigation, and sanctions could harm our business, operating results, and financial condition.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Risks Related to Our Notes and Common Stock</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We may not have the ability to raise the funds necessary to settle conversions of our Notes, repurchase our Notes upon a fundamental change, or repay our Notes in cash at their maturity, and our future debt may contain limitations on our ability to pay cash upon conversion or repurchase of our Notes.</w:t>
      </w:r>
    </w:p>
    <w:p>
      <w:pPr>
        <w:spacing w:after="0" w:line="6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June 2020, we issued our 2025 Notes. We will need to make cash payments (a) if holders of our 2025 Notes require us to repurchase all, or a portion of, their 2025 Notes upon the occurrence of a fundamental change (e.g., a change of control of Palo Alto Networks, Inc.) before the maturity date, (b) upon conversion of our 2025 Notes, or (c) to repay our 2025 Notes in cash at their maturity unless earlier converted or repurchased. Effective May 1, 2024 through July 31, 2024, all of the 2025 Notes are convertible. If all of the note holders decided to convert their 2025 Notes, we would be obligated to pay the</w:t>
      </w:r>
    </w:p>
    <w:p>
      <w:pPr>
        <w:ind w:right="40"/>
        <w:spacing w:after="0" w:line="264" w:lineRule="auto"/>
        <w:rPr>
          <w:sz w:val="20"/>
          <w:szCs w:val="20"/>
          <w:color w:val="auto"/>
        </w:rPr>
      </w:pPr>
      <w:r>
        <w:rPr>
          <w:rFonts w:ascii="Arial" w:cs="Arial" w:eastAsia="Arial" w:hAnsi="Arial"/>
          <w:sz w:val="16"/>
          <w:szCs w:val="16"/>
          <w:color w:val="auto"/>
        </w:rPr>
        <w:t>$1.2 billion principal amount of the 2025 Notes in cash. Under the terms of the 2025 Notes, we also have the option to settle the amount of our conversion obligation in excess of the aggregate principal amount of the 2025 Notes in cash or shares of our common stock. If our cash provided by operating activities, together with our existing cash, cash equivalents, and investments, and existing sources of financing, are inadequate to satisfy these obligations, we will need to obtain third-party financing, which may not be available to us on commercially reasonable terms or at all, to meet these payment obligations.</w:t>
      </w:r>
    </w:p>
    <w:p>
      <w:pPr>
        <w:spacing w:after="0" w:line="6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In addition, our ability to repurchase or to pay cash upon conversion of our 2025 Notes may be limited by law, regulatory authority, or agreements governing our future indebtedness. Our failure to repurchase our 2025 Notes at a time when the repurchase is required by the applicable indenture governing such 2025 Notes or to pay cash upon conversion of such 2025 Notes as required by the applicable indenture would constitute a default under the indenture. A default under the applicable indenture or the fundamental change itself could also lead to a default under agreements governing our future indebtedness. If the payment of the related indebtedness were to be accelerated after any applicable notice or grace periods, we may not have sufficient funds to repay the indebtedness and repurchase our 2025 Notes or to pay cash upon conversion of our 2025 Notes.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still incur substantially more debt or take other actions that would diminish our ability to make payments on our Notes when due.</w:t>
      </w:r>
    </w:p>
    <w:p>
      <w:pPr>
        <w:spacing w:after="0" w:line="12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and our subsidiaries may incur substantial additional debt in the future, subject to the restrictions contained in our debt instruments, that could have the effect of diminishing our ability to make payments on our 2025 Notes when due.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historically has been volatile, and the value of an investment in our common stock could decline.</w:t>
      </w:r>
    </w:p>
    <w:p>
      <w:pPr>
        <w:spacing w:after="0" w:line="12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market price of our common stock has historically been, and is likely to continue to be, volatile and could be subject to wide fluctuations in response to various factors, some of which are beyond our control and unrelated to our business, operating results, or financial condition. These fluctuations could cause a loss of all or part of an investment in our common stock. Factors that could cause fluctuations in the market price of our common stock include, but are not limited to:</w:t>
      </w:r>
    </w:p>
    <w:p>
      <w:pPr>
        <w:spacing w:after="0" w:line="65" w:lineRule="exact"/>
        <w:rPr>
          <w:sz w:val="20"/>
          <w:szCs w:val="20"/>
          <w:color w:val="auto"/>
        </w:rPr>
      </w:pPr>
    </w:p>
    <w:p>
      <w:pPr>
        <w:ind w:left="200" w:right="20" w:hanging="192"/>
        <w:spacing w:after="0" w:line="299" w:lineRule="auto"/>
        <w:tabs>
          <w:tab w:leader="none" w:pos="184"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announcements of new products, subscriptions or technologies, commercial relationships, strategic partnerships, acquisitions, or other events by us or our competitors;</w:t>
      </w: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price and volume fluctuations in the overall stock market from time to time;</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news announcements that affect investor perception of our industry, including reports related to the discovery of significant cyberattacks;</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significant volatility in the market price and trading volume of technology companies in general and of companies in our industry;</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fluctuations in the trading volume of our shares or the size of our public float;</w:t>
      </w:r>
    </w:p>
    <w:p>
      <w:pPr>
        <w:spacing w:after="0" w:line="72"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actual or anticipated changes in our operating results or fluctuations in our operating results;</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whether our operating results meet the expectations of securities analysts or investors;</w:t>
      </w:r>
    </w:p>
    <w:p>
      <w:pPr>
        <w:spacing w:after="0" w:line="86" w:lineRule="exact"/>
        <w:rPr>
          <w:rFonts w:ascii="Arial" w:cs="Arial" w:eastAsia="Arial" w:hAnsi="Arial"/>
          <w:sz w:val="16"/>
          <w:szCs w:val="16"/>
          <w:b w:val="1"/>
          <w:bCs w:val="1"/>
          <w:color w:val="E64B38"/>
        </w:rPr>
      </w:pPr>
    </w:p>
    <w:p>
      <w:pPr>
        <w:ind w:left="200" w:right="220" w:hanging="192"/>
        <w:spacing w:after="0" w:line="286" w:lineRule="auto"/>
        <w:tabs>
          <w:tab w:leader="none" w:pos="184"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actual or anticipated changes in the expectations of securities analysts or investors, whether as a result of our forward-looking statements, our failure to meet such expectations or otherwise;</w:t>
      </w:r>
    </w:p>
    <w:p>
      <w:pPr>
        <w:spacing w:after="0" w:line="20" w:lineRule="exact"/>
        <w:rPr>
          <w:rFonts w:ascii="Arial" w:cs="Arial" w:eastAsia="Arial" w:hAnsi="Arial"/>
          <w:sz w:val="16"/>
          <w:szCs w:val="16"/>
          <w:b w:val="1"/>
          <w:bCs w:val="1"/>
          <w:color w:val="E64B38"/>
        </w:rPr>
      </w:pPr>
    </w:p>
    <w:p>
      <w:pPr>
        <w:ind w:left="200" w:right="420" w:hanging="192"/>
        <w:spacing w:after="0" w:line="286" w:lineRule="auto"/>
        <w:tabs>
          <w:tab w:leader="none" w:pos="184"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inaccurate or unfavorable research reports about our business and industry published by securities analysts or reduced coverage of our company by securities analysts;</w:t>
      </w:r>
    </w:p>
    <w:p>
      <w:pPr>
        <w:spacing w:after="0" w:line="20"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litigation involving us, our industry, or both;</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actions instituted by activist shareholders or others;</w:t>
      </w:r>
    </w:p>
    <w:p>
      <w:pPr>
        <w:spacing w:after="0" w:line="72"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regulatory developments in the United States, foreign countries, or both;</w:t>
      </w:r>
    </w:p>
    <w:p>
      <w:pPr>
        <w:spacing w:after="0" w:line="86"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major catastrophic events;</w:t>
      </w:r>
    </w:p>
    <w:p>
      <w:pPr>
        <w:spacing w:after="0" w:line="86" w:lineRule="exact"/>
        <w:rPr>
          <w:rFonts w:ascii="Arial" w:cs="Arial" w:eastAsia="Arial" w:hAnsi="Arial"/>
          <w:sz w:val="16"/>
          <w:szCs w:val="16"/>
          <w:b w:val="1"/>
          <w:bCs w:val="1"/>
          <w:color w:val="E64B38"/>
        </w:rPr>
      </w:pPr>
    </w:p>
    <w:p>
      <w:pPr>
        <w:ind w:left="200" w:right="520" w:hanging="192"/>
        <w:spacing w:after="0" w:line="286" w:lineRule="auto"/>
        <w:tabs>
          <w:tab w:leader="none" w:pos="184"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sales or repurchases of large blocks of our common stock or substantial future sales by our directors, executive officers, employees, and significant stockholders;</w:t>
      </w:r>
    </w:p>
    <w:p>
      <w:pPr>
        <w:spacing w:after="0" w:line="20"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6"/>
        </w:numPr>
        <w:rPr>
          <w:rFonts w:ascii="Arial" w:cs="Arial" w:eastAsia="Arial" w:hAnsi="Arial"/>
          <w:sz w:val="16"/>
          <w:szCs w:val="16"/>
          <w:b w:val="1"/>
          <w:bCs w:val="1"/>
          <w:color w:val="E64B38"/>
        </w:rPr>
      </w:pPr>
      <w:r>
        <w:rPr>
          <w:rFonts w:ascii="Arial" w:cs="Arial" w:eastAsia="Arial" w:hAnsi="Arial"/>
          <w:sz w:val="16"/>
          <w:szCs w:val="16"/>
          <w:color w:val="auto"/>
        </w:rPr>
        <w:t>departures of key personnel; or</w:t>
      </w:r>
    </w:p>
    <w:p>
      <w:pPr>
        <w:spacing w:after="0" w:line="200" w:lineRule="exact"/>
        <w:rPr>
          <w:rFonts w:ascii="Arial" w:cs="Arial" w:eastAsia="Arial" w:hAnsi="Arial"/>
          <w:sz w:val="16"/>
          <w:szCs w:val="16"/>
          <w:b w:val="1"/>
          <w:bCs w:val="1"/>
          <w:color w:val="E64B38"/>
        </w:rPr>
      </w:pPr>
    </w:p>
    <w:p>
      <w:pPr>
        <w:spacing w:after="0" w:line="223" w:lineRule="exact"/>
        <w:rPr>
          <w:rFonts w:ascii="Arial" w:cs="Arial" w:eastAsia="Arial" w:hAnsi="Arial"/>
          <w:sz w:val="16"/>
          <w:szCs w:val="16"/>
          <w:b w:val="1"/>
          <w:bCs w:val="1"/>
          <w:color w:val="E64B38"/>
        </w:rPr>
      </w:pPr>
    </w:p>
    <w:p>
      <w:pPr>
        <w:ind w:left="5540" w:hanging="105"/>
        <w:spacing w:after="0"/>
        <w:tabs>
          <w:tab w:leader="none" w:pos="55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6"/>
          <w:szCs w:val="16"/>
          <w:b w:val="1"/>
          <w:bCs w:val="1"/>
          <w:color w:val="E64B38"/>
        </w:rPr>
      </w:pPr>
      <w:r>
        <w:rPr>
          <w:rFonts w:ascii="Arial" w:cs="Arial" w:eastAsia="Arial" w:hAnsi="Arial"/>
          <w:sz w:val="16"/>
          <w:szCs w:val="16"/>
          <w:color w:val="auto"/>
        </w:rPr>
        <w:t>geopolitical or economic uncertainty around the world.</w:t>
      </w:r>
    </w:p>
    <w:p>
      <w:pPr>
        <w:spacing w:after="0" w:line="11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Securities litigation could result in substantial costs, divert our management’s attention and resources from our business, and have a material adverse effect on our business, operating results,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convertible note hedge and warrant transactions may affect the value of our common stock.</w:t>
      </w:r>
    </w:p>
    <w:p>
      <w:pPr>
        <w:spacing w:after="0" w:line="11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connection with the sale of our 2025 Notes, we entered into convertible note hedge transactions (the “2025 Note Hedges”) with certain counterparties. In connection with each such sale of the 2025 Notes, we also entered into warrant transactions with the counterparties pursuant to which we sold warrants (the “2025 Warrants”) for the purchase of our common stock. The 2025 Note Hedges for our 2025 Notes are generally expected to reduce the potential dilution to our common stock upon any conversion of our 2025 Notes. The 2025 Warrants could separately have a dilutive effect to the extent that the market price per share of our common stock exceeds the applicable strike price of the 2025 Warrants unless, subject to certain conditions, we elect to cash settle such 2025 Warrants.</w:t>
      </w:r>
    </w:p>
    <w:p>
      <w:pPr>
        <w:spacing w:after="0" w:line="6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applicable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outstanding 2025 Notes (and are likely to do so during any applicable observation period related to a conversion of our 2025 Notes). This activity could also cause or prevent an increase or a decrease in the market price of our common stock or our 2025 Notes, which could affect a note holder’s ability to convert its 2025 Notes and, to the extent the activity occurs during any observation period related to a conversion of our 2025 Notes, it could affect the amount and value of the consideration that the note holder will receive upon conversion of our 2025 Notes.</w:t>
      </w:r>
    </w:p>
    <w:p>
      <w:pPr>
        <w:spacing w:after="0" w:line="8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do not make any representation or prediction as to the direction or magnitude of any potential effect that the transactions described above may have on the price of our 2025 Notes or our common stock. In addition, we do not make any representation that the counterparties or their respective affiliates will engage in these transactions or that these transactions, once commenced, will not be discontinued without notice.</w:t>
      </w:r>
    </w:p>
    <w:p>
      <w:pPr>
        <w:spacing w:after="0" w:line="7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The issuance of additional stock in connection with financings, acquisitions, investments, our stock incentive plans, the conversion of our Notes or exercise of the related Warrants, or otherwise will dilute stock held by all other stockholders.</w:t>
      </w:r>
    </w:p>
    <w:p>
      <w:pPr>
        <w:spacing w:after="0" w:line="4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Our amended and restated certificate of incorporation authorizes us to issue up to 1.0 billion shares of common stock and up to 100.0 million shares of preferred stock with such rights and preferences as may be determined by our board of directors. Subject to compliance with applicable rules and regulations, we may issue shares of common stock or securities convertible into shares of our common stock from time to time in connection with a financing, acquisition, investment, our stock incentive plans, the conversion of our 2025 Notes, the settlement of our 2025 Warrants, or otherwise. Any such issuance could result in substantial dilution to our existing stockholders and cause the market price of our common stock to decline.</w:t>
      </w:r>
    </w:p>
    <w:p>
      <w:pPr>
        <w:spacing w:after="0" w:line="85" w:lineRule="exact"/>
        <w:rPr>
          <w:sz w:val="20"/>
          <w:szCs w:val="20"/>
          <w:color w:val="auto"/>
        </w:rPr>
      </w:pPr>
    </w:p>
    <w:p>
      <w:pPr>
        <w:ind w:right="780"/>
        <w:spacing w:after="0" w:line="294" w:lineRule="auto"/>
        <w:rPr>
          <w:sz w:val="20"/>
          <w:szCs w:val="20"/>
          <w:color w:val="auto"/>
        </w:rPr>
      </w:pPr>
      <w:r>
        <w:rPr>
          <w:rFonts w:ascii="Arial" w:cs="Arial" w:eastAsia="Arial" w:hAnsi="Arial"/>
          <w:sz w:val="16"/>
          <w:szCs w:val="16"/>
          <w:b w:val="1"/>
          <w:bCs w:val="1"/>
          <w:i w:val="1"/>
          <w:iCs w:val="1"/>
          <w:color w:val="auto"/>
        </w:rPr>
        <w:t>We cannot guarantee that our share repurchase program will be fully consummated or that it will enhance shareholder value, and share repurchases could affect the price of our common stock.</w:t>
      </w:r>
    </w:p>
    <w:p>
      <w:pPr>
        <w:spacing w:after="0" w:line="3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As of April 30, 2024, we had $500.0 million available under our share repurchase program which will expire on December 31, 2024 and may be suspended or discontinued at any time without prior notice. Such share repurchase program may be suspended or discontinued by the Company at any time without prior notice. Although our board of directors has authorized a share repurchase program, we are not obligated to repurchase any specific dollar amount or to acquire any specific number of shares under the program. The share repurchase program could affect the price of our common stock, increase volatility, and diminish our cash reserves. In addition, the program may be suspended or terminated at any time, which may result in a decrease in the price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1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We have never declared or paid any dividends on our common stock. We intend to retain any earnings to finance the operation and expansion of our business, and we do not anticipate paying any cash dividends in the future. As a result, stockholders may only receive a return on their investments in our common stock if the market price of our common stock increases.</w:t>
      </w:r>
    </w:p>
    <w:p>
      <w:pPr>
        <w:spacing w:after="0" w:line="58"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b w:val="1"/>
          <w:bCs w:val="1"/>
          <w:i w:val="1"/>
          <w:iCs w:val="1"/>
          <w:color w:val="auto"/>
        </w:rPr>
        <w:t>Our charter documents and Delaware law, as well as certain provisions contained in the indentures governing our Notes, could discourage takeover attempts and lead to management entrenchment, which could also reduce the market price of our common stock.</w:t>
      </w:r>
    </w:p>
    <w:p>
      <w:pPr>
        <w:spacing w:after="0" w:line="2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delaying or preventing a change in control of our company or changes in our management. Our amended and restated certificate of incorporation and amended and restated bylaws include provisions that:</w:t>
      </w:r>
    </w:p>
    <w:p>
      <w:pPr>
        <w:spacing w:after="0" w:line="56"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b w:val="1"/>
          <w:bCs w:val="1"/>
          <w:color w:val="E64B38"/>
        </w:rPr>
      </w:pPr>
      <w:r>
        <w:rPr>
          <w:rFonts w:ascii="Arial" w:cs="Arial" w:eastAsia="Arial" w:hAnsi="Arial"/>
          <w:sz w:val="16"/>
          <w:szCs w:val="16"/>
          <w:color w:val="auto"/>
        </w:rPr>
        <w:t>establish that our board of directors is divided into three classes, Class I, Class II, and Class III, with three-year staggered terms;</w:t>
      </w:r>
    </w:p>
    <w:p>
      <w:pPr>
        <w:spacing w:after="0" w:line="200" w:lineRule="exact"/>
        <w:rPr>
          <w:rFonts w:ascii="Arial" w:cs="Arial" w:eastAsia="Arial" w:hAnsi="Arial"/>
          <w:sz w:val="16"/>
          <w:szCs w:val="16"/>
          <w:b w:val="1"/>
          <w:bCs w:val="1"/>
          <w:color w:val="E64B38"/>
        </w:rPr>
      </w:pPr>
    </w:p>
    <w:p>
      <w:pPr>
        <w:spacing w:after="0" w:line="237" w:lineRule="exact"/>
        <w:rPr>
          <w:rFonts w:ascii="Arial" w:cs="Arial" w:eastAsia="Arial" w:hAnsi="Arial"/>
          <w:sz w:val="16"/>
          <w:szCs w:val="16"/>
          <w:b w:val="1"/>
          <w:bCs w:val="1"/>
          <w:color w:val="E64B38"/>
        </w:rPr>
      </w:pPr>
    </w:p>
    <w:p>
      <w:pPr>
        <w:ind w:left="5540" w:hanging="105"/>
        <w:spacing w:after="0"/>
        <w:tabs>
          <w:tab w:leader="none" w:pos="55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00" w:right="160" w:hanging="192"/>
        <w:spacing w:after="0" w:line="286" w:lineRule="auto"/>
        <w:tabs>
          <w:tab w:leader="none" w:pos="184" w:val="left"/>
        </w:tabs>
        <w:numPr>
          <w:ilvl w:val="0"/>
          <w:numId w:val="29"/>
        </w:numPr>
        <w:rPr>
          <w:rFonts w:ascii="Arial" w:cs="Arial" w:eastAsia="Arial" w:hAnsi="Arial"/>
          <w:sz w:val="16"/>
          <w:szCs w:val="16"/>
          <w:b w:val="1"/>
          <w:bCs w:val="1"/>
          <w:color w:val="E64B38"/>
        </w:rPr>
      </w:pPr>
      <w:r>
        <w:rPr>
          <w:rFonts w:ascii="Arial" w:cs="Arial" w:eastAsia="Arial" w:hAnsi="Arial"/>
          <w:sz w:val="16"/>
          <w:szCs w:val="16"/>
          <w:color w:val="auto"/>
        </w:rPr>
        <w:t>authorize our board of directors to issue shares of preferred stock and to determine the price and other terms of those shares, including preferences and voting rights, without stockholder approval;</w:t>
      </w:r>
    </w:p>
    <w:p>
      <w:pPr>
        <w:spacing w:after="0" w:line="20" w:lineRule="exact"/>
        <w:rPr>
          <w:rFonts w:ascii="Arial" w:cs="Arial" w:eastAsia="Arial" w:hAnsi="Arial"/>
          <w:sz w:val="16"/>
          <w:szCs w:val="16"/>
          <w:b w:val="1"/>
          <w:bCs w:val="1"/>
          <w:color w:val="E64B38"/>
        </w:rPr>
      </w:pPr>
    </w:p>
    <w:p>
      <w:pPr>
        <w:ind w:left="200" w:right="740" w:hanging="192"/>
        <w:spacing w:after="0" w:line="299" w:lineRule="auto"/>
        <w:tabs>
          <w:tab w:leader="none" w:pos="184" w:val="left"/>
        </w:tabs>
        <w:numPr>
          <w:ilvl w:val="0"/>
          <w:numId w:val="29"/>
        </w:numPr>
        <w:rPr>
          <w:rFonts w:ascii="Arial" w:cs="Arial" w:eastAsia="Arial" w:hAnsi="Arial"/>
          <w:sz w:val="16"/>
          <w:szCs w:val="16"/>
          <w:b w:val="1"/>
          <w:bCs w:val="1"/>
          <w:color w:val="E64B38"/>
        </w:rPr>
      </w:pPr>
      <w:r>
        <w:rPr>
          <w:rFonts w:ascii="Arial" w:cs="Arial" w:eastAsia="Arial" w:hAnsi="Arial"/>
          <w:sz w:val="16"/>
          <w:szCs w:val="16"/>
          <w:color w:val="auto"/>
        </w:rPr>
        <w:t>provide our board of directors with the exclusive right to elect a director to fill a vacancy created by the expansion of our board of directors or the resignation, death, or removal of a director;</w:t>
      </w:r>
    </w:p>
    <w:p>
      <w:pPr>
        <w:ind w:left="180" w:hanging="172"/>
        <w:spacing w:after="0"/>
        <w:tabs>
          <w:tab w:leader="none" w:pos="180" w:val="left"/>
        </w:tabs>
        <w:numPr>
          <w:ilvl w:val="0"/>
          <w:numId w:val="29"/>
        </w:numPr>
        <w:rPr>
          <w:rFonts w:ascii="Arial" w:cs="Arial" w:eastAsia="Arial" w:hAnsi="Arial"/>
          <w:sz w:val="16"/>
          <w:szCs w:val="16"/>
          <w:b w:val="1"/>
          <w:bCs w:val="1"/>
          <w:color w:val="E64B38"/>
        </w:rPr>
      </w:pPr>
      <w:r>
        <w:rPr>
          <w:rFonts w:ascii="Arial" w:cs="Arial" w:eastAsia="Arial" w:hAnsi="Arial"/>
          <w:sz w:val="16"/>
          <w:szCs w:val="16"/>
          <w:color w:val="auto"/>
        </w:rPr>
        <w:t>prohibit our stockholders from taking action by written consent;</w:t>
      </w:r>
    </w:p>
    <w:p>
      <w:pPr>
        <w:spacing w:after="0" w:line="86" w:lineRule="exact"/>
        <w:rPr>
          <w:rFonts w:ascii="Arial" w:cs="Arial" w:eastAsia="Arial" w:hAnsi="Arial"/>
          <w:sz w:val="16"/>
          <w:szCs w:val="16"/>
          <w:b w:val="1"/>
          <w:bCs w:val="1"/>
          <w:color w:val="E64B38"/>
        </w:rPr>
      </w:pPr>
    </w:p>
    <w:p>
      <w:pPr>
        <w:ind w:left="200" w:right="180" w:hanging="192"/>
        <w:spacing w:after="0" w:line="286" w:lineRule="auto"/>
        <w:tabs>
          <w:tab w:leader="none" w:pos="184" w:val="left"/>
        </w:tabs>
        <w:numPr>
          <w:ilvl w:val="0"/>
          <w:numId w:val="29"/>
        </w:numPr>
        <w:rPr>
          <w:rFonts w:ascii="Arial" w:cs="Arial" w:eastAsia="Arial" w:hAnsi="Arial"/>
          <w:sz w:val="16"/>
          <w:szCs w:val="16"/>
          <w:b w:val="1"/>
          <w:bCs w:val="1"/>
          <w:color w:val="E64B38"/>
        </w:rPr>
      </w:pPr>
      <w:r>
        <w:rPr>
          <w:rFonts w:ascii="Arial" w:cs="Arial" w:eastAsia="Arial" w:hAnsi="Arial"/>
          <w:sz w:val="16"/>
          <w:szCs w:val="16"/>
          <w:color w:val="auto"/>
        </w:rPr>
        <w:t>specify that special meetings of our stockholders may be called only by the chairman of our board of directors, our president, our secretary, or a majority vote of our board of directors;</w:t>
      </w:r>
    </w:p>
    <w:p>
      <w:pPr>
        <w:spacing w:after="0" w:line="20" w:lineRule="exact"/>
        <w:rPr>
          <w:rFonts w:ascii="Arial" w:cs="Arial" w:eastAsia="Arial" w:hAnsi="Arial"/>
          <w:sz w:val="16"/>
          <w:szCs w:val="16"/>
          <w:b w:val="1"/>
          <w:bCs w:val="1"/>
          <w:color w:val="E64B38"/>
        </w:rPr>
      </w:pPr>
    </w:p>
    <w:p>
      <w:pPr>
        <w:ind w:left="200" w:right="40" w:hanging="192"/>
        <w:spacing w:after="0" w:line="275" w:lineRule="auto"/>
        <w:tabs>
          <w:tab w:leader="none" w:pos="184" w:val="left"/>
        </w:tabs>
        <w:numPr>
          <w:ilvl w:val="0"/>
          <w:numId w:val="29"/>
        </w:numPr>
        <w:rPr>
          <w:rFonts w:ascii="Arial" w:cs="Arial" w:eastAsia="Arial" w:hAnsi="Arial"/>
          <w:sz w:val="16"/>
          <w:szCs w:val="16"/>
          <w:b w:val="1"/>
          <w:bCs w:val="1"/>
          <w:color w:val="E64B38"/>
        </w:rPr>
      </w:pPr>
      <w:r>
        <w:rPr>
          <w:rFonts w:ascii="Arial" w:cs="Arial" w:eastAsia="Arial" w:hAnsi="Arial"/>
          <w:sz w:val="16"/>
          <w:szCs w:val="16"/>
          <w:color w:val="auto"/>
        </w:rPr>
        <w:t>require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w:t>
      </w:r>
    </w:p>
    <w:p>
      <w:pPr>
        <w:spacing w:after="0" w:line="29" w:lineRule="exact"/>
        <w:rPr>
          <w:rFonts w:ascii="Arial" w:cs="Arial" w:eastAsia="Arial" w:hAnsi="Arial"/>
          <w:sz w:val="16"/>
          <w:szCs w:val="16"/>
          <w:b w:val="1"/>
          <w:bCs w:val="1"/>
          <w:color w:val="E64B38"/>
        </w:rPr>
      </w:pPr>
    </w:p>
    <w:p>
      <w:pPr>
        <w:ind w:left="180" w:hanging="172"/>
        <w:spacing w:after="0"/>
        <w:tabs>
          <w:tab w:leader="none" w:pos="180" w:val="left"/>
        </w:tabs>
        <w:numPr>
          <w:ilvl w:val="0"/>
          <w:numId w:val="29"/>
        </w:numPr>
        <w:rPr>
          <w:rFonts w:ascii="Arial" w:cs="Arial" w:eastAsia="Arial" w:hAnsi="Arial"/>
          <w:sz w:val="16"/>
          <w:szCs w:val="16"/>
          <w:b w:val="1"/>
          <w:bCs w:val="1"/>
          <w:color w:val="E64B38"/>
        </w:rPr>
      </w:pPr>
      <w:r>
        <w:rPr>
          <w:rFonts w:ascii="Arial" w:cs="Arial" w:eastAsia="Arial" w:hAnsi="Arial"/>
          <w:sz w:val="16"/>
          <w:szCs w:val="16"/>
          <w:color w:val="auto"/>
        </w:rPr>
        <w:t>authorize our board of directors to amend our bylaws by majority vote; and</w:t>
      </w:r>
    </w:p>
    <w:p>
      <w:pPr>
        <w:spacing w:after="0" w:line="72" w:lineRule="exact"/>
        <w:rPr>
          <w:rFonts w:ascii="Arial" w:cs="Arial" w:eastAsia="Arial" w:hAnsi="Arial"/>
          <w:sz w:val="16"/>
          <w:szCs w:val="16"/>
          <w:b w:val="1"/>
          <w:bCs w:val="1"/>
          <w:color w:val="E64B38"/>
        </w:rPr>
      </w:pPr>
    </w:p>
    <w:p>
      <w:pPr>
        <w:ind w:left="200" w:right="200" w:hanging="192"/>
        <w:spacing w:after="0" w:line="304" w:lineRule="auto"/>
        <w:tabs>
          <w:tab w:leader="none" w:pos="184" w:val="left"/>
        </w:tabs>
        <w:numPr>
          <w:ilvl w:val="0"/>
          <w:numId w:val="29"/>
        </w:numPr>
        <w:rPr>
          <w:rFonts w:ascii="Arial" w:cs="Arial" w:eastAsia="Arial" w:hAnsi="Arial"/>
          <w:sz w:val="16"/>
          <w:szCs w:val="16"/>
          <w:b w:val="1"/>
          <w:bCs w:val="1"/>
          <w:color w:val="E64B38"/>
        </w:rPr>
      </w:pPr>
      <w:r>
        <w:rPr>
          <w:rFonts w:ascii="Arial" w:cs="Arial" w:eastAsia="Arial" w:hAnsi="Arial"/>
          <w:sz w:val="16"/>
          <w:szCs w:val="16"/>
          <w:color w:val="auto"/>
        </w:rPr>
        <w:t>establish advance notice procedures with which our stockholders must comply to nominate candidates to our board of directors or to propose matters to be acted upon at a stockholders’ meeting.</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Additionally, certain provisions contained in the indenture governing our 2025 Notes could make it more difficult or more expensive for a third party to acquire us. The application of Section 203 or certain provisions contained in the indenture governing our 2025 Notes also could have the effect of delaying or preventing a change in control of us. Any of these provisions could, under certain circumstances, depress the market price of our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General Risk Factors</w:t>
      </w:r>
    </w:p>
    <w:p>
      <w:pPr>
        <w:spacing w:after="0" w:line="13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Our business is subject to the risks of earthquakes, fire, power outages, floods, health risks, and other catastrophic events, and to interruption by man-made problems, such as terrorism.</w:t>
      </w:r>
    </w:p>
    <w:p>
      <w:pPr>
        <w:spacing w:after="0" w:line="2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Both our corporate headquarters and the location where our products are manufactured are located in the San Francisco Bay Area, a region known for seismic activity. In addition, other natural disasters, such as fire or floods, a significant power outage, telecommunications failure, terrorism, an armed conflict, cyberattacks, epidemics and pandemics such as COVID-19, or other geopolitical unrest could affect our supply chain, manufacturers, logistics providers, channel partners, end-customers, or the economy as a whole, and such disruption could impact our shipments and sales.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spacing w:after="0" w:line="68"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b w:val="1"/>
          <w:bCs w:val="1"/>
          <w:i w:val="1"/>
          <w:iCs w:val="1"/>
          <w:color w:val="auto"/>
        </w:rPr>
        <w:t>Our failure to raise additional capital or generate the significant capital necessary to expand our operations and invest in new products and subscriptions could reduce our ability to compete and could harm our business.</w:t>
      </w:r>
    </w:p>
    <w:p>
      <w:pPr>
        <w:spacing w:after="0" w:line="4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to enhance our portfolio, improve our operating infrastructure, or acquire complementary businesses and technologies. Accordingly, we may need to engage in equity or debt financings to secure additional funds. If we engage in future debt financings, the holders of such additional debt would have priority over the holders of our common stock. Current and future indebtedness may also contain terms that, among other things, restrict our ability to incur additional indebtedness. In addition, we may be required to take other actions that would otherwise be in the interests of the debt holders and would require us to maintain specified liquidity or other ratios, any of which could harm our business, operating results, and financial condition.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3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Unregistered Sales of Equity Securities</w:t>
      </w:r>
    </w:p>
    <w:p>
      <w:pPr>
        <w:spacing w:after="0" w:line="14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During the three months ended April 30, 2024, holders of the 2025 Notes converted $661.8 million in aggregate principal amount of the 2025 Notes, which we repaid in cash. We also issued 4.6 million shares of our unregistered common stock to the holders of the 2025 Notes for the conversion value in excess of the principal amount. These shares of our common stock were issued in reliance on the exemption from registration provided by Section 3(a)(9) of the Securities Act of 1933, as amended (the “Securities Act”).</w:t>
      </w:r>
    </w:p>
    <w:p>
      <w:pPr>
        <w:spacing w:after="0" w:line="6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Additionally, during the three months ended April 30, 2024, we issued a total of 11,272 shares of our unregistered common stock in connection with certain of our acquisitions (the “Transactions”). The Transactions did not involve any underwriters, any underwriting discounts or commissions, or any public offering. The issuances of the securities pursuant to the Transactions were exempt from registration under the Securities Act by virtue of Section 4(a)(2) of the Act and Rule 506 of Regulation D promulgated thereunder.</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Purchases of Equity Securities by the Issuer and Affiliated Purchasers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repurchases during the three months ended April 30, 2024 (in millions,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Approximate Dollar</w:t>
            </w:r>
          </w:p>
        </w:tc>
      </w:tr>
      <w:tr>
        <w:trPr>
          <w:trHeight w:val="175"/>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May Yet Be</w:t>
            </w:r>
          </w:p>
        </w:tc>
      </w:t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Average Price Paid</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Announced Plans or</w:t>
            </w:r>
          </w:p>
        </w:tc>
        <w:tc>
          <w:tcPr>
            <w:tcW w:w="12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Purchased Under the</w:t>
            </w:r>
          </w:p>
        </w:tc>
      </w:tr>
      <w:tr>
        <w:trPr>
          <w:trHeight w:val="214"/>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E3E3E3"/>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E3E3E3"/>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E3E3E3"/>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Programs</w:t>
            </w:r>
            <w:r>
              <w:rPr>
                <w:rFonts w:ascii="Arial" w:cs="Arial" w:eastAsia="Arial" w:hAnsi="Arial"/>
                <w:sz w:val="18"/>
                <w:szCs w:val="18"/>
                <w:b w:val="1"/>
                <w:bCs w:val="1"/>
                <w:color w:val="auto"/>
                <w:vertAlign w:val="superscript"/>
              </w:rPr>
              <w:t>(1)</w:t>
            </w:r>
          </w:p>
        </w:tc>
        <w:tc>
          <w:tcPr>
            <w:tcW w:w="120" w:type="dxa"/>
            <w:vAlign w:val="bottom"/>
            <w:tcBorders>
              <w:bottom w:val="single" w:sz="8" w:color="E3E3E3"/>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Plans or Programs</w:t>
            </w:r>
            <w:r>
              <w:rPr>
                <w:rFonts w:ascii="Arial" w:cs="Arial" w:eastAsia="Arial" w:hAnsi="Arial"/>
                <w:sz w:val="18"/>
                <w:szCs w:val="18"/>
                <w:b w:val="1"/>
                <w:bCs w:val="1"/>
                <w:color w:val="auto"/>
                <w:w w:val="99"/>
                <w:vertAlign w:val="superscript"/>
              </w:rPr>
              <w:t>(1)</w:t>
            </w:r>
          </w:p>
        </w:tc>
      </w:tr>
      <w:tr>
        <w:trPr>
          <w:trHeight w:val="236"/>
        </w:trPr>
        <w:tc>
          <w:tcPr>
            <w:tcW w:w="4860" w:type="dxa"/>
            <w:vAlign w:val="bottom"/>
            <w:gridSpan w:val="2"/>
            <w:shd w:val="clear" w:color="auto" w:fill="E3E3E3"/>
          </w:tcPr>
          <w:p>
            <w:pPr>
              <w:ind w:left="20"/>
              <w:spacing w:after="0" w:line="237" w:lineRule="exact"/>
              <w:rPr>
                <w:sz w:val="20"/>
                <w:szCs w:val="20"/>
                <w:color w:val="auto"/>
              </w:rPr>
            </w:pPr>
            <w:r>
              <w:rPr>
                <w:rFonts w:ascii="Arial" w:cs="Arial" w:eastAsia="Arial" w:hAnsi="Arial"/>
                <w:sz w:val="16"/>
                <w:szCs w:val="16"/>
                <w:color w:val="auto"/>
              </w:rPr>
              <w:t>February 1, 2024 to February 29, 2024</w:t>
            </w:r>
            <w:r>
              <w:rPr>
                <w:rFonts w:ascii="Arial" w:cs="Arial" w:eastAsia="Arial" w:hAnsi="Arial"/>
                <w:sz w:val="21"/>
                <w:szCs w:val="21"/>
                <w:color w:val="auto"/>
                <w:vertAlign w:val="superscript"/>
              </w:rPr>
              <w:t>(2)</w:t>
            </w:r>
          </w:p>
        </w:tc>
        <w:tc>
          <w:tcPr>
            <w:tcW w:w="15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0.4</w:t>
            </w:r>
          </w:p>
        </w:tc>
        <w:tc>
          <w:tcPr>
            <w:tcW w:w="240" w:type="dxa"/>
            <w:vAlign w:val="bottom"/>
            <w:gridSpan w:val="2"/>
            <w:shd w:val="clear" w:color="auto" w:fill="E3E3E3"/>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284.26</w:t>
            </w:r>
          </w:p>
        </w:tc>
        <w:tc>
          <w:tcPr>
            <w:tcW w:w="100" w:type="dxa"/>
            <w:vAlign w:val="bottom"/>
            <w:shd w:val="clear" w:color="auto" w:fill="E3E3E3"/>
          </w:tcPr>
          <w:p>
            <w:pPr>
              <w:spacing w:after="0"/>
              <w:rPr>
                <w:sz w:val="20"/>
                <w:szCs w:val="20"/>
                <w:color w:val="auto"/>
              </w:rPr>
            </w:pPr>
          </w:p>
        </w:tc>
        <w:tc>
          <w:tcPr>
            <w:tcW w:w="1480" w:type="dxa"/>
            <w:vAlign w:val="bottom"/>
            <w:shd w:val="clear" w:color="auto" w:fill="E3E3E3"/>
          </w:tcPr>
          <w:p>
            <w:pPr>
              <w:jc w:val="right"/>
              <w:spacing w:after="0"/>
              <w:rPr>
                <w:sz w:val="20"/>
                <w:szCs w:val="20"/>
                <w:color w:val="auto"/>
              </w:rPr>
            </w:pPr>
            <w:r>
              <w:rPr>
                <w:rFonts w:ascii="Arial" w:cs="Arial" w:eastAsia="Arial" w:hAnsi="Arial"/>
                <w:sz w:val="16"/>
                <w:szCs w:val="16"/>
                <w:color w:val="auto"/>
              </w:rPr>
              <w:t>0.4</w:t>
            </w:r>
          </w:p>
        </w:tc>
        <w:tc>
          <w:tcPr>
            <w:tcW w:w="22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873.6</w:t>
            </w:r>
          </w:p>
        </w:tc>
      </w:tr>
      <w:tr>
        <w:trPr>
          <w:trHeight w:val="24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March 1, 2024 to March 31, 2024</w:t>
            </w:r>
            <w:r>
              <w:rPr>
                <w:rFonts w:ascii="Arial" w:cs="Arial" w:eastAsia="Arial" w:hAnsi="Arial"/>
                <w:sz w:val="21"/>
                <w:szCs w:val="21"/>
                <w:color w:val="auto"/>
                <w:vertAlign w:val="superscript"/>
              </w:rPr>
              <w:t>(2)</w:t>
            </w: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1.3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297.28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500.0</w:t>
            </w:r>
          </w:p>
        </w:tc>
      </w:tr>
      <w:tr>
        <w:trPr>
          <w:trHeight w:val="243"/>
        </w:trPr>
        <w:tc>
          <w:tcPr>
            <w:tcW w:w="4860" w:type="dxa"/>
            <w:vAlign w:val="bottom"/>
            <w:gridSpan w:val="2"/>
            <w:shd w:val="clear" w:color="auto" w:fill="E3E3E3"/>
          </w:tcPr>
          <w:p>
            <w:pPr>
              <w:ind w:left="20"/>
              <w:spacing w:after="0"/>
              <w:rPr>
                <w:sz w:val="20"/>
                <w:szCs w:val="20"/>
                <w:color w:val="auto"/>
              </w:rPr>
            </w:pPr>
            <w:r>
              <w:rPr>
                <w:rFonts w:ascii="Arial" w:cs="Arial" w:eastAsia="Arial" w:hAnsi="Arial"/>
                <w:sz w:val="16"/>
                <w:szCs w:val="16"/>
                <w:color w:val="auto"/>
              </w:rPr>
              <w:t>April 1, 2024 to April 30, 2024</w:t>
            </w:r>
            <w:r>
              <w:rPr>
                <w:rFonts w:ascii="Arial" w:cs="Arial" w:eastAsia="Arial" w:hAnsi="Arial"/>
                <w:sz w:val="21"/>
                <w:szCs w:val="21"/>
                <w:color w:val="auto"/>
                <w:vertAlign w:val="superscript"/>
              </w:rPr>
              <w:t>(2)</w:t>
            </w:r>
          </w:p>
        </w:tc>
        <w:tc>
          <w:tcPr>
            <w:tcW w:w="1560" w:type="dxa"/>
            <w:vAlign w:val="bottom"/>
            <w:tcBorders>
              <w:bottom w:val="single" w:sz="8" w:color="auto"/>
            </w:tcBorders>
            <w:shd w:val="clear" w:color="auto" w:fill="E3E3E3"/>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E3E3E3"/>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3E3E3"/>
          </w:tcPr>
          <w:p>
            <w:pPr>
              <w:jc w:val="right"/>
              <w:ind w:right="2"/>
              <w:spacing w:after="0"/>
              <w:rPr>
                <w:sz w:val="20"/>
                <w:szCs w:val="20"/>
                <w:color w:val="auto"/>
              </w:rPr>
            </w:pPr>
            <w:r>
              <w:rPr>
                <w:rFonts w:ascii="Arial" w:cs="Arial" w:eastAsia="Arial" w:hAnsi="Arial"/>
                <w:sz w:val="16"/>
                <w:szCs w:val="16"/>
                <w:color w:val="auto"/>
              </w:rPr>
              <w:t>277.71</w:t>
            </w:r>
          </w:p>
        </w:tc>
        <w:tc>
          <w:tcPr>
            <w:tcW w:w="100" w:type="dxa"/>
            <w:vAlign w:val="bottom"/>
            <w:shd w:val="clear" w:color="auto" w:fill="E3E3E3"/>
          </w:tcPr>
          <w:p>
            <w:pPr>
              <w:spacing w:after="0"/>
              <w:rPr>
                <w:sz w:val="21"/>
                <w:szCs w:val="21"/>
                <w:color w:val="auto"/>
              </w:rPr>
            </w:pPr>
          </w:p>
        </w:tc>
        <w:tc>
          <w:tcPr>
            <w:tcW w:w="1480" w:type="dxa"/>
            <w:vAlign w:val="bottom"/>
            <w:tcBorders>
              <w:bottom w:val="single" w:sz="8" w:color="auto"/>
            </w:tcBorders>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E3E3E3"/>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3E3E3"/>
          </w:tcPr>
          <w:p>
            <w:pPr>
              <w:jc w:val="right"/>
              <w:ind w:right="4"/>
              <w:spacing w:after="0"/>
              <w:rPr>
                <w:sz w:val="20"/>
                <w:szCs w:val="20"/>
                <w:color w:val="auto"/>
              </w:rPr>
            </w:pPr>
            <w:r>
              <w:rPr>
                <w:rFonts w:ascii="Arial" w:cs="Arial" w:eastAsia="Arial" w:hAnsi="Arial"/>
                <w:sz w:val="16"/>
                <w:szCs w:val="16"/>
                <w:color w:val="auto"/>
              </w:rPr>
              <w:t>500.0</w:t>
            </w:r>
          </w:p>
        </w:tc>
      </w:tr>
      <w:tr>
        <w:trPr>
          <w:trHeight w:val="237"/>
        </w:trPr>
        <w:tc>
          <w:tcPr>
            <w:tcW w:w="486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293.81</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20" w:lineRule="exact"/>
        <w:rPr>
          <w:sz w:val="20"/>
          <w:szCs w:val="20"/>
          <w:color w:val="auto"/>
        </w:rPr>
      </w:pPr>
    </w:p>
    <w:p>
      <w:pPr>
        <w:ind w:left="200" w:right="260" w:hanging="192"/>
        <w:spacing w:after="0" w:line="248" w:lineRule="auto"/>
        <w:tabs>
          <w:tab w:leader="none" w:pos="28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In February 2019, we announced that our board of directors authorized a $1.0 billion share repurchase program, which is funded from available working capital. In December 2020, August 2021, August 2022, and November 2023, we announced additional $700.0 million, $676.1 million, $915.0 million, and $316.7 million increases to this share repurchase program, respectively, bringing the total authorization to $3.6 billion, with $500.0 million remaining as of April 30, 2024. The expiration date of this repurchase authorization was extended to December 31, 2024, and our repurchase program may be suspended or discontinued at any time. Repurchases under our program are to be made at management’s discretion on the open market, through privately negotiated transactions, transactions structured through investment banking institutions, block purchase techniques, 10b5-1 trading plans, or a combination of the foregoing.</w:t>
      </w:r>
    </w:p>
    <w:p>
      <w:pPr>
        <w:spacing w:after="0" w:line="49" w:lineRule="exact"/>
        <w:rPr>
          <w:rFonts w:ascii="Arial" w:cs="Arial" w:eastAsia="Arial" w:hAnsi="Arial"/>
          <w:sz w:val="19"/>
          <w:szCs w:val="19"/>
          <w:color w:val="auto"/>
          <w:vertAlign w:val="superscript"/>
        </w:rPr>
      </w:pPr>
    </w:p>
    <w:p>
      <w:pPr>
        <w:ind w:left="200" w:right="260" w:hanging="192"/>
        <w:spacing w:after="0" w:line="231" w:lineRule="auto"/>
        <w:tabs>
          <w:tab w:leader="none" w:pos="28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Includes shares of restricted common stock delivered by certain employees upon vesting of equity awards to satisfy tax withholding requirements. The number of shares delivered to satisfy tax withholding requirements during the period was not significant.</w:t>
      </w:r>
    </w:p>
    <w:p>
      <w:pPr>
        <w:spacing w:after="0" w:line="385" w:lineRule="exact"/>
        <w:rPr>
          <w:rFonts w:ascii="Arial" w:cs="Arial" w:eastAsia="Arial" w:hAnsi="Arial"/>
          <w:sz w:val="19"/>
          <w:szCs w:val="19"/>
          <w:color w:val="auto"/>
          <w:vertAlign w:val="superscript"/>
        </w:rPr>
      </w:pPr>
    </w:p>
    <w:p>
      <w:pPr>
        <w:ind w:left="5540" w:hanging="105"/>
        <w:spacing w:after="0"/>
        <w:tabs>
          <w:tab w:leader="none" w:pos="5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29"/>
          <w:szCs w:val="29"/>
          <w:b w:val="1"/>
          <w:bCs w:val="1"/>
          <w:color w:val="706F6F"/>
        </w:rPr>
        <w:t>Trading Plans of Directors and Executive Officers</w:t>
      </w:r>
    </w:p>
    <w:p>
      <w:pPr>
        <w:spacing w:after="0" w:line="132"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Set forth below is certain information regarding Rule 10b5-1 trading plans adopted or terminated by our directors and officers (as defined in Rule 16a-1(f)) during the third quarter of fiscal 2024. The Rule 10b5-1 trading plans listed below are each intended to satisfy the affirmative defense of Rule 10b5-1(c).</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Date Plan was</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Total Amount of Common</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Stock to be Sold Under the</w:t>
            </w:r>
          </w:p>
        </w:tc>
        <w:tc>
          <w:tcPr>
            <w:tcW w:w="0" w:type="dxa"/>
            <w:vAlign w:val="bottom"/>
          </w:tcPr>
          <w:p>
            <w:pPr>
              <w:spacing w:after="0"/>
              <w:rPr>
                <w:sz w:val="1"/>
                <w:szCs w:val="1"/>
                <w:color w:val="auto"/>
              </w:rPr>
            </w:pPr>
          </w:p>
        </w:tc>
      </w:tr>
      <w:tr>
        <w:trPr>
          <w:trHeight w:val="211"/>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E3E3E3"/>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Title</w:t>
            </w:r>
          </w:p>
        </w:tc>
        <w:tc>
          <w:tcPr>
            <w:tcW w:w="100" w:type="dxa"/>
            <w:vAlign w:val="bottom"/>
            <w:tcBorders>
              <w:bottom w:val="single" w:sz="8" w:color="E3E3E3"/>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Date Plan Was Adopted</w:t>
            </w:r>
          </w:p>
        </w:tc>
        <w:tc>
          <w:tcPr>
            <w:tcW w:w="100" w:type="dxa"/>
            <w:vAlign w:val="bottom"/>
            <w:tcBorders>
              <w:bottom w:val="single" w:sz="8" w:color="E3E3E3"/>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Terminated</w:t>
            </w:r>
          </w:p>
        </w:tc>
        <w:tc>
          <w:tcPr>
            <w:tcW w:w="100" w:type="dxa"/>
            <w:vAlign w:val="bottom"/>
            <w:tcBorders>
              <w:bottom w:val="single" w:sz="8" w:color="E3E3E3"/>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120" w:type="dxa"/>
            <w:vAlign w:val="bottom"/>
            <w:tcBorders>
              <w:bottom w:val="single" w:sz="8" w:color="E3E3E3"/>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88"/>
        </w:trPr>
        <w:tc>
          <w:tcPr>
            <w:tcW w:w="1860" w:type="dxa"/>
            <w:vAlign w:val="bottom"/>
            <w:gridSpan w:val="2"/>
            <w:shd w:val="clear" w:color="auto" w:fill="E3E3E3"/>
          </w:tcPr>
          <w:p>
            <w:pPr>
              <w:ind w:left="20"/>
              <w:spacing w:after="0"/>
              <w:rPr>
                <w:sz w:val="20"/>
                <w:szCs w:val="20"/>
                <w:color w:val="auto"/>
              </w:rPr>
            </w:pPr>
            <w:r>
              <w:rPr>
                <w:rFonts w:ascii="Arial" w:cs="Arial" w:eastAsia="Arial" w:hAnsi="Arial"/>
                <w:sz w:val="14"/>
                <w:szCs w:val="14"/>
                <w:color w:val="auto"/>
              </w:rPr>
              <w:t>Nikesh Arora</w:t>
            </w:r>
          </w:p>
        </w:tc>
        <w:tc>
          <w:tcPr>
            <w:tcW w:w="184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Chief Executive Officer</w:t>
            </w:r>
          </w:p>
        </w:tc>
        <w:tc>
          <w:tcPr>
            <w:tcW w:w="188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March 27, 2024</w:t>
            </w:r>
          </w:p>
        </w:tc>
        <w:tc>
          <w:tcPr>
            <w:tcW w:w="186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Not applicable</w:t>
            </w:r>
          </w:p>
        </w:tc>
        <w:tc>
          <w:tcPr>
            <w:tcW w:w="190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December 31, 2025 or</w:t>
            </w:r>
          </w:p>
        </w:tc>
        <w:tc>
          <w:tcPr>
            <w:tcW w:w="1900" w:type="dxa"/>
            <w:vAlign w:val="bottom"/>
            <w:shd w:val="clear" w:color="auto" w:fill="E3E3E3"/>
          </w:tcPr>
          <w:p>
            <w:pPr>
              <w:jc w:val="right"/>
              <w:spacing w:after="0"/>
              <w:rPr>
                <w:sz w:val="20"/>
                <w:szCs w:val="20"/>
                <w:color w:val="auto"/>
              </w:rPr>
            </w:pPr>
            <w:r>
              <w:rPr>
                <w:rFonts w:ascii="Arial" w:cs="Arial" w:eastAsia="Arial" w:hAnsi="Arial"/>
                <w:sz w:val="14"/>
                <w:szCs w:val="14"/>
                <w:color w:val="auto"/>
              </w:rPr>
              <w:t>2,444,760</w:t>
            </w:r>
          </w:p>
        </w:tc>
        <w:tc>
          <w:tcPr>
            <w:tcW w:w="0" w:type="dxa"/>
            <w:vAlign w:val="bottom"/>
          </w:tcPr>
          <w:p>
            <w:pPr>
              <w:spacing w:after="0"/>
              <w:rPr>
                <w:sz w:val="1"/>
                <w:szCs w:val="1"/>
                <w:color w:val="auto"/>
              </w:rPr>
            </w:pPr>
          </w:p>
        </w:tc>
      </w:tr>
      <w:tr>
        <w:trPr>
          <w:trHeight w:val="175"/>
        </w:trPr>
        <w:tc>
          <w:tcPr>
            <w:tcW w:w="174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74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78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7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90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when all shares have been</w:t>
            </w:r>
          </w:p>
        </w:tc>
        <w:tc>
          <w:tcPr>
            <w:tcW w:w="19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174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78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76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90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sold</w:t>
            </w:r>
          </w:p>
        </w:tc>
        <w:tc>
          <w:tcPr>
            <w:tcW w:w="190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William “BJ” Jenkins</w:t>
            </w:r>
          </w:p>
        </w:tc>
        <w:tc>
          <w:tcPr>
            <w:tcW w:w="1840" w:type="dxa"/>
            <w:vAlign w:val="bottom"/>
            <w:gridSpan w:val="2"/>
          </w:tcPr>
          <w:p>
            <w:pPr>
              <w:jc w:val="right"/>
              <w:ind w:right="120"/>
              <w:spacing w:after="0"/>
              <w:rPr>
                <w:sz w:val="20"/>
                <w:szCs w:val="20"/>
                <w:color w:val="auto"/>
              </w:rPr>
            </w:pPr>
            <w:r>
              <w:rPr>
                <w:rFonts w:ascii="Arial" w:cs="Arial" w:eastAsia="Arial" w:hAnsi="Arial"/>
                <w:sz w:val="14"/>
                <w:szCs w:val="14"/>
                <w:color w:val="auto"/>
              </w:rPr>
              <w:t>President</w:t>
            </w:r>
          </w:p>
        </w:tc>
        <w:tc>
          <w:tcPr>
            <w:tcW w:w="1880" w:type="dxa"/>
            <w:vAlign w:val="bottom"/>
            <w:gridSpan w:val="2"/>
          </w:tcPr>
          <w:p>
            <w:pPr>
              <w:jc w:val="right"/>
              <w:ind w:right="120"/>
              <w:spacing w:after="0"/>
              <w:rPr>
                <w:sz w:val="20"/>
                <w:szCs w:val="20"/>
                <w:color w:val="auto"/>
              </w:rPr>
            </w:pPr>
            <w:r>
              <w:rPr>
                <w:rFonts w:ascii="Arial" w:cs="Arial" w:eastAsia="Arial" w:hAnsi="Arial"/>
                <w:sz w:val="14"/>
                <w:szCs w:val="14"/>
                <w:color w:val="auto"/>
              </w:rPr>
              <w:t>March 26, 2024</w:t>
            </w:r>
          </w:p>
        </w:tc>
        <w:tc>
          <w:tcPr>
            <w:tcW w:w="1860" w:type="dxa"/>
            <w:vAlign w:val="bottom"/>
            <w:gridSpan w:val="2"/>
          </w:tcPr>
          <w:p>
            <w:pPr>
              <w:jc w:val="right"/>
              <w:ind w:right="120"/>
              <w:spacing w:after="0"/>
              <w:rPr>
                <w:sz w:val="20"/>
                <w:szCs w:val="20"/>
                <w:color w:val="auto"/>
              </w:rPr>
            </w:pPr>
            <w:r>
              <w:rPr>
                <w:rFonts w:ascii="Arial" w:cs="Arial" w:eastAsia="Arial" w:hAnsi="Arial"/>
                <w:sz w:val="14"/>
                <w:szCs w:val="14"/>
                <w:color w:val="auto"/>
              </w:rPr>
              <w:t>Not applicable</w:t>
            </w: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June 30, 2025 or when all</w:t>
            </w:r>
          </w:p>
        </w:tc>
        <w:tc>
          <w:tcPr>
            <w:tcW w:w="1900" w:type="dxa"/>
            <w:vAlign w:val="bottom"/>
          </w:tcPr>
          <w:p>
            <w:pPr>
              <w:jc w:val="right"/>
              <w:spacing w:after="0"/>
              <w:rPr>
                <w:sz w:val="20"/>
                <w:szCs w:val="20"/>
                <w:color w:val="auto"/>
              </w:rPr>
            </w:pPr>
            <w:r>
              <w:rPr>
                <w:rFonts w:ascii="Arial" w:cs="Arial" w:eastAsia="Arial" w:hAnsi="Arial"/>
                <w:sz w:val="14"/>
                <w:szCs w:val="14"/>
                <w:color w:val="auto"/>
              </w:rPr>
              <w:t>8,054</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4"/>
                <w:szCs w:val="14"/>
                <w:color w:val="auto"/>
              </w:rPr>
              <w:t>shares have been sold</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60" w:type="dxa"/>
            <w:vAlign w:val="bottom"/>
            <w:gridSpan w:val="2"/>
            <w:shd w:val="clear" w:color="auto" w:fill="E3E3E3"/>
          </w:tcPr>
          <w:p>
            <w:pPr>
              <w:ind w:left="20"/>
              <w:spacing w:after="0"/>
              <w:rPr>
                <w:sz w:val="20"/>
                <w:szCs w:val="20"/>
                <w:color w:val="auto"/>
              </w:rPr>
            </w:pPr>
            <w:r>
              <w:rPr>
                <w:rFonts w:ascii="Arial" w:cs="Arial" w:eastAsia="Arial" w:hAnsi="Arial"/>
                <w:sz w:val="14"/>
                <w:szCs w:val="14"/>
                <w:color w:val="auto"/>
              </w:rPr>
              <w:t>Nir Zuk</w:t>
            </w:r>
          </w:p>
        </w:tc>
        <w:tc>
          <w:tcPr>
            <w:tcW w:w="184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Executive Vice President,</w:t>
            </w:r>
          </w:p>
        </w:tc>
        <w:tc>
          <w:tcPr>
            <w:tcW w:w="188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April 1, 2024</w:t>
            </w:r>
          </w:p>
        </w:tc>
        <w:tc>
          <w:tcPr>
            <w:tcW w:w="186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Not applicable</w:t>
            </w:r>
          </w:p>
        </w:tc>
        <w:tc>
          <w:tcPr>
            <w:tcW w:w="190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June 30, 2025 or when all</w:t>
            </w:r>
          </w:p>
        </w:tc>
        <w:tc>
          <w:tcPr>
            <w:tcW w:w="1900" w:type="dxa"/>
            <w:vAlign w:val="bottom"/>
            <w:shd w:val="clear" w:color="auto" w:fill="E3E3E3"/>
          </w:tcPr>
          <w:p>
            <w:pPr>
              <w:jc w:val="right"/>
              <w:spacing w:after="0"/>
              <w:rPr>
                <w:sz w:val="20"/>
                <w:szCs w:val="20"/>
                <w:color w:val="auto"/>
              </w:rPr>
            </w:pPr>
            <w:r>
              <w:rPr>
                <w:rFonts w:ascii="Arial" w:cs="Arial" w:eastAsia="Arial" w:hAnsi="Arial"/>
                <w:sz w:val="14"/>
                <w:szCs w:val="14"/>
                <w:color w:val="auto"/>
              </w:rPr>
              <w:t>432,000</w:t>
            </w:r>
          </w:p>
        </w:tc>
        <w:tc>
          <w:tcPr>
            <w:tcW w:w="0" w:type="dxa"/>
            <w:vAlign w:val="bottom"/>
          </w:tcPr>
          <w:p>
            <w:pPr>
              <w:spacing w:after="0"/>
              <w:rPr>
                <w:sz w:val="1"/>
                <w:szCs w:val="1"/>
                <w:color w:val="auto"/>
              </w:rPr>
            </w:pPr>
          </w:p>
        </w:tc>
      </w:tr>
      <w:tr>
        <w:trPr>
          <w:trHeight w:val="190"/>
        </w:trPr>
        <w:tc>
          <w:tcPr>
            <w:tcW w:w="17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84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Chief Technology Officer</w:t>
            </w:r>
          </w:p>
        </w:tc>
        <w:tc>
          <w:tcPr>
            <w:tcW w:w="17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7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900" w:type="dxa"/>
            <w:vAlign w:val="bottom"/>
            <w:gridSpan w:val="2"/>
            <w:shd w:val="clear" w:color="auto" w:fill="E3E3E3"/>
          </w:tcPr>
          <w:p>
            <w:pPr>
              <w:jc w:val="right"/>
              <w:ind w:right="120"/>
              <w:spacing w:after="0"/>
              <w:rPr>
                <w:sz w:val="20"/>
                <w:szCs w:val="20"/>
                <w:color w:val="auto"/>
              </w:rPr>
            </w:pPr>
            <w:r>
              <w:rPr>
                <w:rFonts w:ascii="Arial" w:cs="Arial" w:eastAsia="Arial" w:hAnsi="Arial"/>
                <w:sz w:val="14"/>
                <w:szCs w:val="14"/>
                <w:color w:val="auto"/>
              </w:rPr>
              <w:t>shares have been sold</w:t>
            </w:r>
          </w:p>
        </w:tc>
        <w:tc>
          <w:tcPr>
            <w:tcW w:w="190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740" w:type="dxa"/>
            <w:vAlign w:val="bottom"/>
            <w:shd w:val="clear" w:color="auto" w:fill="E3E3E3"/>
          </w:tcPr>
          <w:p>
            <w:pPr>
              <w:spacing w:after="0" w:line="20" w:lineRule="exact"/>
              <w:rPr>
                <w:sz w:val="1"/>
                <w:szCs w:val="1"/>
                <w:color w:val="auto"/>
              </w:rPr>
            </w:pPr>
          </w:p>
        </w:tc>
        <w:tc>
          <w:tcPr>
            <w:tcW w:w="120" w:type="dxa"/>
            <w:vAlign w:val="bottom"/>
            <w:shd w:val="clear" w:color="auto" w:fill="E3E3E3"/>
          </w:tcPr>
          <w:p>
            <w:pPr>
              <w:spacing w:after="0" w:line="20" w:lineRule="exact"/>
              <w:rPr>
                <w:sz w:val="1"/>
                <w:szCs w:val="1"/>
                <w:color w:val="auto"/>
              </w:rPr>
            </w:pPr>
          </w:p>
        </w:tc>
        <w:tc>
          <w:tcPr>
            <w:tcW w:w="1740" w:type="dxa"/>
            <w:vAlign w:val="bottom"/>
            <w:shd w:val="clear" w:color="auto" w:fill="E3E3E3"/>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1780" w:type="dxa"/>
            <w:vAlign w:val="bottom"/>
            <w:shd w:val="clear" w:color="auto" w:fill="E3E3E3"/>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1760" w:type="dxa"/>
            <w:vAlign w:val="bottom"/>
            <w:shd w:val="clear" w:color="auto" w:fill="E3E3E3"/>
          </w:tcPr>
          <w:p>
            <w:pPr>
              <w:spacing w:after="0" w:line="20" w:lineRule="exact"/>
              <w:rPr>
                <w:sz w:val="1"/>
                <w:szCs w:val="1"/>
                <w:color w:val="auto"/>
              </w:rPr>
            </w:pPr>
          </w:p>
        </w:tc>
        <w:tc>
          <w:tcPr>
            <w:tcW w:w="100" w:type="dxa"/>
            <w:vAlign w:val="bottom"/>
            <w:shd w:val="clear" w:color="auto" w:fill="E3E3E3"/>
          </w:tcPr>
          <w:p>
            <w:pPr>
              <w:spacing w:after="0" w:line="20" w:lineRule="exact"/>
              <w:rPr>
                <w:sz w:val="1"/>
                <w:szCs w:val="1"/>
                <w:color w:val="auto"/>
              </w:rPr>
            </w:pPr>
          </w:p>
        </w:tc>
        <w:tc>
          <w:tcPr>
            <w:tcW w:w="1780" w:type="dxa"/>
            <w:vAlign w:val="bottom"/>
            <w:shd w:val="clear" w:color="auto" w:fill="E3E3E3"/>
          </w:tcPr>
          <w:p>
            <w:pPr>
              <w:spacing w:after="0" w:line="20" w:lineRule="exact"/>
              <w:rPr>
                <w:sz w:val="1"/>
                <w:szCs w:val="1"/>
                <w:color w:val="auto"/>
              </w:rPr>
            </w:pPr>
          </w:p>
        </w:tc>
        <w:tc>
          <w:tcPr>
            <w:tcW w:w="120" w:type="dxa"/>
            <w:vAlign w:val="bottom"/>
            <w:shd w:val="clear" w:color="auto" w:fill="E3E3E3"/>
          </w:tcPr>
          <w:p>
            <w:pPr>
              <w:spacing w:after="0" w:line="20" w:lineRule="exact"/>
              <w:rPr>
                <w:sz w:val="1"/>
                <w:szCs w:val="1"/>
                <w:color w:val="auto"/>
              </w:rPr>
            </w:pPr>
          </w:p>
        </w:tc>
        <w:tc>
          <w:tcPr>
            <w:tcW w:w="1900" w:type="dxa"/>
            <w:vAlign w:val="bottom"/>
            <w:shd w:val="clear" w:color="auto" w:fill="E3E3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No other officers or directors, as defined in Rule 16a-1(f), adopted, modified, and/or terminated a “Rule 10b5-1 trading arrangement” or a “non-Rule 10b5-1 trading arrangement,” as defined in Regulation S-K Item 408, during the third quarter of fiscal 2024.</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080" w:type="dxa"/>
            <w:vAlign w:val="bottom"/>
            <w:gridSpan w:val="2"/>
            <w:vMerge w:val="continue"/>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9"/>
                <w:szCs w:val="19"/>
                <w:color w:val="auto"/>
              </w:rPr>
            </w:pPr>
          </w:p>
        </w:tc>
        <w:tc>
          <w:tcPr>
            <w:tcW w:w="512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9"/>
                <w:szCs w:val="19"/>
                <w:color w:val="auto"/>
              </w:rPr>
            </w:pP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19"/>
                <w:szCs w:val="19"/>
                <w:color w:val="auto"/>
              </w:rPr>
            </w:pP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9"/>
                <w:szCs w:val="19"/>
                <w:color w:val="auto"/>
              </w:rPr>
            </w:pP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220"/>
          </w:cols>
          <w:pgMar w:left="320" w:top="233" w:right="359" w:bottom="1440" w:gutter="0" w:footer="0" w:header="0"/>
        </w:sectPr>
      </w:pPr>
    </w:p>
    <w:p>
      <w:pPr>
        <w:spacing w:after="0" w:line="108"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0000FF"/>
        </w:rPr>
        <w:t>31.1</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0000FF"/>
        </w:rPr>
        <w:t>31.2</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0000FF"/>
        </w:rPr>
        <w:t>32.1</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0000FF"/>
        </w:rPr>
        <w:t>32.2</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the Chief Executive Officer pursuant to Section 302(a)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the Sarbanes-Oxley Act of 2002.</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the Chief Financial Officer pursuant to Section 302(a)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 pursuant to 18 U.S.C.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Oxley Act of 2002.</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pursuant to 18 U.S.C.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Oxley Act of 2002.</w:t>
      </w:r>
    </w:p>
    <w:p>
      <w:pPr>
        <w:spacing w:after="0" w:line="200" w:lineRule="exact"/>
        <w:rPr>
          <w:sz w:val="20"/>
          <w:szCs w:val="20"/>
          <w:color w:val="auto"/>
        </w:rPr>
      </w:pPr>
    </w:p>
    <w:p>
      <w:pPr>
        <w:sectPr>
          <w:pgSz w:w="11900" w:h="16838" w:orient="portrait"/>
          <w:cols w:equalWidth="0" w:num="2">
            <w:col w:w="440" w:space="660"/>
            <w:col w:w="10120"/>
          </w:cols>
          <w:pgMar w:left="320" w:top="233" w:right="359" w:bottom="1440" w:gutter="0" w:footer="0" w:header="0"/>
          <w:type w:val="continuous"/>
        </w:sectPr>
      </w:pPr>
    </w:p>
    <w:p>
      <w:pPr>
        <w:spacing w:after="0" w:line="127" w:lineRule="exact"/>
        <w:rPr>
          <w:sz w:val="20"/>
          <w:szCs w:val="20"/>
          <w:color w:val="auto"/>
        </w:rPr>
      </w:pPr>
    </w:p>
    <w:p>
      <w:pPr>
        <w:ind w:left="1100" w:right="5220" w:hanging="1074"/>
        <w:spacing w:after="0" w:line="230" w:lineRule="auto"/>
        <w:tabs>
          <w:tab w:leader="none" w:pos="1100" w:val="left"/>
        </w:tabs>
        <w:numPr>
          <w:ilvl w:val="0"/>
          <w:numId w:val="31"/>
        </w:numPr>
        <w:rPr>
          <w:rFonts w:ascii="Arial" w:cs="Arial" w:eastAsia="Arial" w:hAnsi="Arial"/>
          <w:sz w:val="32"/>
          <w:szCs w:val="32"/>
          <w:color w:val="auto"/>
          <w:vertAlign w:val="superscript"/>
        </w:rPr>
      </w:pPr>
      <w:r>
        <w:rPr>
          <w:rFonts w:ascii="Arial" w:cs="Arial" w:eastAsia="Arial" w:hAnsi="Arial"/>
          <w:sz w:val="16"/>
          <w:szCs w:val="16"/>
          <w:color w:val="auto"/>
        </w:rPr>
        <w:t>The following financial information from Palo Alto Networks, Inc.’s Quarterly Report on Form 10-Q for the three months ended April 30, 2024 formatted in Inline XBRL includes: (i) Condensed Consolidated Balance Sheets, (ii) Condensed Consolidated Statements of Operations, (iii) Condensed Consolidated Statements of Comprehensive Income (Loss), (iv) Condensed Consolidated Statements of Stockholders’ Equity, (v) Condensed Consolidated Statements of Cash Flows, and (vi) Notes to the Condensed Consolidated Financial Statements.</w:t>
      </w:r>
    </w:p>
    <w:p>
      <w:pPr>
        <w:spacing w:after="0" w:line="208" w:lineRule="exact"/>
        <w:rPr>
          <w:sz w:val="20"/>
          <w:szCs w:val="20"/>
          <w:color w:val="auto"/>
        </w:rPr>
      </w:pPr>
    </w:p>
    <w:p>
      <w:pPr>
        <w:ind w:left="1100" w:right="5460" w:hanging="1074"/>
        <w:spacing w:after="0" w:line="286" w:lineRule="auto"/>
        <w:tabs>
          <w:tab w:leader="none" w:pos="11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Cover Page Interactive Data File—(formatted as Inline XBRL and contained in Exhibit 101).</w:t>
      </w:r>
    </w:p>
    <w:p>
      <w:pPr>
        <w:spacing w:after="0" w:line="281" w:lineRule="exact"/>
        <w:rPr>
          <w:rFonts w:ascii="Arial" w:cs="Arial" w:eastAsia="Arial" w:hAnsi="Arial"/>
          <w:sz w:val="16"/>
          <w:szCs w:val="16"/>
          <w:color w:val="auto"/>
        </w:rPr>
      </w:pPr>
    </w:p>
    <w:p>
      <w:pPr>
        <w:ind w:left="200" w:hanging="192"/>
        <w:spacing w:after="0" w:line="283" w:lineRule="auto"/>
        <w:tabs>
          <w:tab w:leader="none" w:pos="243"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certifications attached as Exhibit 32.1 and 32.2 that accompany this Quarterly Report on Form 10-Q are not deemed filed with the Securities and Exchange Commission and are not to be incorporated by reference into any filing of Palo Alto Networks,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70" w:lineRule="exact"/>
        <w:rPr>
          <w:rFonts w:ascii="Arial" w:cs="Arial" w:eastAsia="Arial" w:hAnsi="Arial"/>
          <w:sz w:val="14"/>
          <w:szCs w:val="14"/>
          <w:color w:val="auto"/>
        </w:rPr>
      </w:pPr>
    </w:p>
    <w:p>
      <w:pPr>
        <w:ind w:left="5540" w:hanging="105"/>
        <w:spacing w:after="0"/>
        <w:tabs>
          <w:tab w:leader="none" w:pos="5540" w:val="left"/>
        </w:tabs>
        <w:numPr>
          <w:ilvl w:val="2"/>
          <w:numId w:val="32"/>
        </w:numPr>
        <w:rPr>
          <w:rFonts w:ascii="Arial" w:cs="Arial" w:eastAsia="Arial" w:hAnsi="Arial"/>
          <w:sz w:val="16"/>
          <w:szCs w:val="16"/>
          <w:color w:val="auto"/>
        </w:rPr>
      </w:pPr>
      <w:r>
        <w:rPr>
          <w:rFonts w:ascii="Arial" w:cs="Arial" w:eastAsia="Arial" w:hAnsi="Arial"/>
          <w:sz w:val="16"/>
          <w:szCs w:val="16"/>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136"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Date: May 20, 2024</w:t>
      </w:r>
    </w:p>
    <w:p>
      <w:pPr>
        <w:spacing w:after="0" w:line="181"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PALO ALTO NETWORKS, INC.</w:t>
      </w:r>
    </w:p>
    <w:p>
      <w:pPr>
        <w:spacing w:after="0" w:line="59"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DIPAK GOLECHHA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29210</wp:posOffset>
            </wp:positionV>
            <wp:extent cx="22631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5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Dipak Golechha</w:t>
      </w:r>
    </w:p>
    <w:p>
      <w:pPr>
        <w:spacing w:after="0" w:line="61" w:lineRule="exact"/>
        <w:rPr>
          <w:sz w:val="20"/>
          <w:szCs w:val="20"/>
          <w:color w:val="auto"/>
        </w:rPr>
      </w:pPr>
    </w:p>
    <w:p>
      <w:pPr>
        <w:ind w:left="7700"/>
        <w:spacing w:after="0"/>
        <w:rPr>
          <w:sz w:val="20"/>
          <w:szCs w:val="20"/>
          <w:color w:val="auto"/>
        </w:rPr>
      </w:pPr>
      <w:r>
        <w:rPr>
          <w:rFonts w:ascii="Arial" w:cs="Arial" w:eastAsia="Arial" w:hAnsi="Arial"/>
          <w:sz w:val="16"/>
          <w:szCs w:val="16"/>
          <w:i w:val="1"/>
          <w:iCs w:val="1"/>
          <w:color w:val="auto"/>
        </w:rPr>
        <w:t>Chief Financial Officer</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(Duly Authorized Officer and Principal Financial</w:t>
      </w:r>
    </w:p>
    <w:p>
      <w:pPr>
        <w:spacing w:after="0" w:line="19" w:lineRule="exact"/>
        <w:rPr>
          <w:sz w:val="20"/>
          <w:szCs w:val="20"/>
          <w:color w:val="auto"/>
        </w:rPr>
      </w:pPr>
    </w:p>
    <w:p>
      <w:pPr>
        <w:ind w:left="7700"/>
        <w:spacing w:after="0"/>
        <w:rPr>
          <w:sz w:val="20"/>
          <w:szCs w:val="20"/>
          <w:color w:val="auto"/>
        </w:rPr>
      </w:pPr>
      <w:r>
        <w:rPr>
          <w:rFonts w:ascii="Arial" w:cs="Arial" w:eastAsia="Arial" w:hAnsi="Arial"/>
          <w:sz w:val="16"/>
          <w:szCs w:val="16"/>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Date: May 20, 2024</w:t>
      </w:r>
    </w:p>
    <w:p>
      <w:pPr>
        <w:spacing w:after="0" w:line="181"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PALO ALTO NETWORKS, INC.</w:t>
      </w:r>
    </w:p>
    <w:p>
      <w:pPr>
        <w:spacing w:after="0" w:line="59" w:lineRule="exact"/>
        <w:rPr>
          <w:sz w:val="20"/>
          <w:szCs w:val="20"/>
          <w:color w:val="auto"/>
        </w:rPr>
      </w:pPr>
    </w:p>
    <w:p>
      <w:pPr>
        <w:ind w:left="7140"/>
        <w:spacing w:after="0"/>
        <w:tabs>
          <w:tab w:leader="none" w:pos="7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JOSH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29210</wp:posOffset>
            </wp:positionV>
            <wp:extent cx="22631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5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Josh Paul</w:t>
      </w:r>
    </w:p>
    <w:p>
      <w:pPr>
        <w:spacing w:after="0" w:line="61" w:lineRule="exact"/>
        <w:rPr>
          <w:sz w:val="20"/>
          <w:szCs w:val="20"/>
          <w:color w:val="auto"/>
        </w:rPr>
      </w:pPr>
    </w:p>
    <w:p>
      <w:pPr>
        <w:ind w:left="7700"/>
        <w:spacing w:after="0"/>
        <w:rPr>
          <w:sz w:val="20"/>
          <w:szCs w:val="20"/>
          <w:color w:val="auto"/>
        </w:rPr>
      </w:pPr>
      <w:r>
        <w:rPr>
          <w:rFonts w:ascii="Arial" w:cs="Arial" w:eastAsia="Arial" w:hAnsi="Arial"/>
          <w:sz w:val="16"/>
          <w:szCs w:val="16"/>
          <w:i w:val="1"/>
          <w:iCs w:val="1"/>
          <w:color w:val="auto"/>
        </w:rPr>
        <w:t>Chief Accounting Officer</w:t>
      </w:r>
    </w:p>
    <w:p>
      <w:pPr>
        <w:spacing w:after="0" w:line="59" w:lineRule="exact"/>
        <w:rPr>
          <w:sz w:val="20"/>
          <w:szCs w:val="20"/>
          <w:color w:val="auto"/>
        </w:rPr>
      </w:pPr>
    </w:p>
    <w:p>
      <w:pPr>
        <w:ind w:left="7700"/>
        <w:spacing w:after="0"/>
        <w:rPr>
          <w:sz w:val="20"/>
          <w:szCs w:val="20"/>
          <w:color w:val="auto"/>
        </w:rPr>
      </w:pPr>
      <w:r>
        <w:rPr>
          <w:rFonts w:ascii="Arial" w:cs="Arial" w:eastAsia="Arial" w:hAnsi="Arial"/>
          <w:sz w:val="16"/>
          <w:szCs w:val="16"/>
          <w:i w:val="1"/>
          <w:iCs w:val="1"/>
          <w:color w:val="auto"/>
        </w:rPr>
        <w:t>(Duly Authorized Officer and Principal</w:t>
      </w:r>
    </w:p>
    <w:p>
      <w:pPr>
        <w:spacing w:after="0" w:line="19" w:lineRule="exact"/>
        <w:rPr>
          <w:sz w:val="20"/>
          <w:szCs w:val="20"/>
          <w:color w:val="auto"/>
        </w:rPr>
      </w:pPr>
    </w:p>
    <w:p>
      <w:pPr>
        <w:ind w:left="7700"/>
        <w:spacing w:after="0"/>
        <w:rPr>
          <w:sz w:val="20"/>
          <w:szCs w:val="20"/>
          <w:color w:val="auto"/>
        </w:rPr>
      </w:pPr>
      <w:r>
        <w:rPr>
          <w:rFonts w:ascii="Arial" w:cs="Arial" w:eastAsia="Arial" w:hAnsi="Arial"/>
          <w:sz w:val="16"/>
          <w:szCs w:val="16"/>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- 63 -</w:t>
      </w:r>
    </w:p>
    <w:p>
      <w:pPr>
        <w:sectPr>
          <w:pgSz w:w="11900" w:h="16838" w:orient="portrait"/>
          <w:cols w:equalWidth="0" w:num="1">
            <w:col w:w="11080"/>
          </w:cols>
          <w:pgMar w:left="320" w:top="233" w:right="4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Nikesh Arora,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 Alto Networks,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NIKESH ARORA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86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Nikesh Arora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2024</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Dipak Golechha, certify that:</w:t>
      </w:r>
    </w:p>
    <w:p>
      <w:pPr>
        <w:spacing w:after="0" w:line="22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 Alto Networks,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9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9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IPAK</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OLECHHA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0086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Dipak Golechha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2024</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Nikesh Arora, certify, pursuant to 18 U.S.C. Section 1350, as adopted pursuant to Section 906 of the Sarbanes-Oxley Act of 2002, that the Quarterly Report on Form 10-Q of Palo Alto Networks, Inc. for the quarterly period ended April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Palo Alto Networks, Inc.</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N</w:t>
      </w:r>
      <w:r>
        <w:rPr>
          <w:rFonts w:ascii="Times New Roman" w:cs="Times New Roman" w:eastAsia="Times New Roman" w:hAnsi="Times New Roman"/>
          <w:sz w:val="14"/>
          <w:szCs w:val="14"/>
          <w:color w:val="auto"/>
        </w:rPr>
        <w:t>IKESH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0086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Nikesh Arora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2024</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Dipak Golechha, certify, pursuant to 18 U.S.C. Section 1350, as adopted pursuant to Section 906 of the Sarbanes-Oxley Act of 2002, that the Quarterly Report on Form 10-Q of Palo Alto Networks, Inc. for the quarterly period ended April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Palo Alto Networks, Inc.</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IPAK</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OLECHHA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0086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Dipak Golechha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
      <w:numFmt w:val="bullet"/>
      <w:start w:val="1"/>
    </w:lvl>
    <w:lvl w:ilvl="1">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lvl w:ilvl="1">
      <w:lvlJc w:val="left"/>
      <w:lvlText w:val="-"/>
      <w:numFmt w:val="bullet"/>
      <w:start w:val="1"/>
    </w:lvl>
  </w:abstractNum>
  <w:abstractNum w:abstractNumId="20">
    <w:nsid w:val="71F32454"/>
    <w:multiLevelType w:val="hybridMultilevel"/>
    <w:lvl w:ilvl="0">
      <w:lvlJc w:val="left"/>
      <w:lvlText w:val="•"/>
      <w:numFmt w:val="bullet"/>
      <w:start w:val="1"/>
    </w:lvl>
    <w:lvl w:ilvl="1">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lvl w:ilvl="1">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lvl w:ilvl="1">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lvl w:ilvl="1">
      <w:lvlJc w:val="left"/>
      <w:lvlText w:val="-"/>
      <w:numFmt w:val="bullet"/>
      <w:start w:val="1"/>
    </w:lvl>
  </w:abstractNum>
  <w:abstractNum w:abstractNumId="30">
    <w:nsid w:val="22221A70"/>
    <w:multiLevelType w:val="hybridMultilevel"/>
    <w:lvl w:ilvl="0">
      <w:lvlJc w:val="left"/>
      <w:lvlText w:val="%1"/>
      <w:numFmt w:val="decimal"/>
      <w:start w:val="101"/>
    </w:lvl>
  </w:abstractNum>
  <w:abstractNum w:abstractNumId="31">
    <w:nsid w:val="4516DDE9"/>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2024-05-21T05:26:39Z</dcterms:created>
  <dcterms:modified xsi:type="dcterms:W3CDTF">2024-05-21T05:26:39Z</dcterms:modified>
</cp:coreProperties>
</file>